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32" w:rsidRPr="00BC72B0" w:rsidRDefault="00857F32" w:rsidP="002673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C72B0" w:rsidRDefault="00BC72B0" w:rsidP="00BC72B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57F32" w:rsidRPr="00AE2EF6" w:rsidRDefault="00857F32" w:rsidP="00857F3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FC3AD1" wp14:editId="3F692F14">
            <wp:extent cx="877570" cy="892175"/>
            <wp:effectExtent l="0" t="0" r="0" b="3175"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Pr="00937AD3" w:rsidRDefault="00857F32" w:rsidP="00857F32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Default="00857F32" w:rsidP="00857F32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22694F">
        <w:rPr>
          <w:rFonts w:ascii="Times New Roman" w:hAnsi="Times New Roman"/>
          <w:sz w:val="28"/>
          <w:szCs w:val="28"/>
        </w:rPr>
        <w:t xml:space="preserve">21.02.2018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22694F">
        <w:rPr>
          <w:rFonts w:ascii="Times New Roman" w:hAnsi="Times New Roman"/>
          <w:sz w:val="28"/>
          <w:szCs w:val="28"/>
        </w:rPr>
        <w:t>76</w:t>
      </w:r>
    </w:p>
    <w:p w:rsidR="00857F32" w:rsidRPr="00937AD3" w:rsidRDefault="00857F32" w:rsidP="00857F32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57F32" w:rsidRPr="00FA40FF" w:rsidTr="0010379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32" w:rsidRDefault="00857F32" w:rsidP="0010379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857F32" w:rsidRPr="00FA40FF" w:rsidRDefault="00857F32" w:rsidP="0010379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BC72B0" w:rsidRPr="00220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2B0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BC72B0" w:rsidRPr="0085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B0" w:rsidRPr="00917AD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      </w:r>
            <w:r w:rsidR="00BC72B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857F32" w:rsidRPr="00937AD3" w:rsidRDefault="00857F32" w:rsidP="00857F3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57F32" w:rsidRPr="00BC152E" w:rsidRDefault="00857F32" w:rsidP="00857F32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57F32" w:rsidRPr="00937AD3" w:rsidRDefault="00857F32" w:rsidP="00857F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7F32" w:rsidRPr="00937AD3" w:rsidRDefault="00857F32" w:rsidP="00857F32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857F32" w:rsidRPr="00937AD3" w:rsidRDefault="00857F32" w:rsidP="00857F32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7F32" w:rsidRPr="00917ADD" w:rsidRDefault="00857F32" w:rsidP="00857F32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C72B0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BC72B0" w:rsidRPr="00BC72B0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857F32" w:rsidRDefault="00857F32" w:rsidP="00857F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857F32" w:rsidRDefault="00857F32" w:rsidP="00857F32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857F32" w:rsidRPr="0003739F" w:rsidRDefault="00857F32" w:rsidP="008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32" w:rsidRPr="000A70F5" w:rsidRDefault="00857F32" w:rsidP="0085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32" w:rsidRPr="001C0902" w:rsidRDefault="00857F32" w:rsidP="00857F32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857F32" w:rsidRPr="009C5BB7" w:rsidRDefault="00857F32" w:rsidP="00857F32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857F32" w:rsidRDefault="00857F32" w:rsidP="00857F32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2B0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08BB" w:rsidRDefault="00BC72B0" w:rsidP="00BC72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BB08BB" w:rsidRDefault="00BB08BB" w:rsidP="00BC72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FD38BF" w:rsidRDefault="00FD38BF" w:rsidP="00BB08B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</w:t>
      </w:r>
      <w:r w:rsidR="0022694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22694F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2018 г. № </w:t>
      </w:r>
      <w:r w:rsidR="0022694F">
        <w:rPr>
          <w:rFonts w:ascii="Times New Roman" w:hAnsi="Times New Roman"/>
          <w:sz w:val="28"/>
          <w:szCs w:val="28"/>
        </w:rPr>
        <w:t>76</w:t>
      </w: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38BF" w:rsidRDefault="00FD38BF" w:rsidP="00857F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F32" w:rsidRPr="00857F32" w:rsidRDefault="00857F32" w:rsidP="00857F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F3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7F32" w:rsidRPr="00857F32" w:rsidRDefault="00857F32" w:rsidP="00857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F32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857F32">
        <w:rPr>
          <w:rFonts w:ascii="Times New Roman" w:hAnsi="Times New Roman" w:cs="Times New Roman"/>
          <w:b/>
          <w:sz w:val="28"/>
          <w:szCs w:val="28"/>
        </w:rPr>
        <w:t>«Предоставление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</w:p>
    <w:p w:rsidR="00D81AB8" w:rsidRPr="00D81AB8" w:rsidRDefault="00D81AB8" w:rsidP="00BB0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BB0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BB4BE7" w:rsidRDefault="00D81AB8" w:rsidP="00BB4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857F32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857F3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FD38BF" w:rsidRPr="004B7761">
        <w:rPr>
          <w:rStyle w:val="FontStyle39"/>
          <w:sz w:val="28"/>
          <w:szCs w:val="28"/>
        </w:rPr>
        <w:t>Администрации</w:t>
      </w:r>
      <w:r w:rsidR="00FD38BF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</w:t>
      </w:r>
      <w:r w:rsidR="003E72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</w:t>
      </w:r>
      <w:r w:rsidR="00FD38B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D38BF" w:rsidRPr="0022032A">
        <w:rPr>
          <w:rFonts w:ascii="Times New Roman" w:hAnsi="Times New Roman" w:cs="Times New Roman"/>
          <w:sz w:val="28"/>
          <w:szCs w:val="28"/>
        </w:rPr>
        <w:t>«</w:t>
      </w:r>
      <w:r w:rsidR="00FD38BF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FD38BF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FD38BF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FD38BF">
        <w:rPr>
          <w:rFonts w:ascii="Times New Roman" w:hAnsi="Times New Roman" w:cs="Times New Roman"/>
          <w:sz w:val="28"/>
          <w:szCs w:val="28"/>
        </w:rPr>
        <w:t xml:space="preserve">»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BB4BE7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B4B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D859505" wp14:editId="38B2C2C0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17" w:rsidRDefault="004B5517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4B5517" w:rsidRDefault="004B5517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предостав</w:t>
      </w:r>
      <w:r w:rsidR="00B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муниципальной услуги – </w:t>
      </w:r>
      <w:r w:rsidR="00BB4BE7">
        <w:rPr>
          <w:rFonts w:ascii="Times New Roman" w:hAnsi="Times New Roman"/>
          <w:sz w:val="28"/>
          <w:szCs w:val="28"/>
        </w:rPr>
        <w:t>о</w:t>
      </w:r>
      <w:r w:rsidR="00BB4BE7" w:rsidRPr="000A7856">
        <w:rPr>
          <w:rFonts w:ascii="Times New Roman" w:hAnsi="Times New Roman"/>
          <w:sz w:val="28"/>
          <w:szCs w:val="28"/>
        </w:rPr>
        <w:t>тдел</w:t>
      </w:r>
      <w:r w:rsidR="00BB4BE7">
        <w:rPr>
          <w:rFonts w:ascii="Times New Roman" w:hAnsi="Times New Roman"/>
          <w:sz w:val="28"/>
          <w:szCs w:val="28"/>
        </w:rPr>
        <w:t xml:space="preserve"> по экономике, управлению</w:t>
      </w:r>
      <w:r w:rsidR="00BB4BE7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BB4BE7">
        <w:rPr>
          <w:rFonts w:ascii="Times New Roman" w:hAnsi="Times New Roman"/>
          <w:sz w:val="28"/>
          <w:szCs w:val="28"/>
        </w:rPr>
        <w:t xml:space="preserve">муществом и земельным отношениям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216B0F" w:rsidP="00216B0F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BC521F" w:rsidRPr="00BC521F">
        <w:rPr>
          <w:sz w:val="28"/>
          <w:szCs w:val="28"/>
          <w:lang w:eastAsia="ru-RU"/>
        </w:rPr>
        <w:t>1.3.2. Место нахождения Администрации</w:t>
      </w:r>
      <w:r>
        <w:rPr>
          <w:sz w:val="28"/>
          <w:szCs w:val="28"/>
          <w:lang w:eastAsia="ru-RU"/>
        </w:rPr>
        <w:t>:</w:t>
      </w:r>
      <w:r w:rsidRPr="00216B0F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216790 Российская Федерация,   Смоленская область,  г.Рудня, ул.Киреева, д.93</w:t>
      </w:r>
      <w:r w:rsidR="00BC521F" w:rsidRPr="00BC521F">
        <w:rPr>
          <w:sz w:val="28"/>
          <w:szCs w:val="28"/>
          <w:lang w:eastAsia="ru-RU"/>
        </w:rPr>
        <w:t>.</w:t>
      </w:r>
    </w:p>
    <w:p w:rsidR="00216B0F" w:rsidRPr="003660EE" w:rsidRDefault="00216B0F" w:rsidP="00216B0F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BC521F" w:rsidRPr="00BC521F">
        <w:rPr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</w:t>
      </w:r>
      <w:r>
        <w:rPr>
          <w:sz w:val="28"/>
          <w:szCs w:val="28"/>
          <w:lang w:eastAsia="ru-RU"/>
        </w:rPr>
        <w:t>):</w:t>
      </w:r>
      <w:r w:rsidRPr="00216B0F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216790 Российская Федерация, Смоленская область, г.Рудня, ул.Киреева, д.93.</w:t>
      </w:r>
    </w:p>
    <w:p w:rsidR="00BC521F" w:rsidRPr="00BC521F" w:rsidRDefault="00216B0F" w:rsidP="00216B0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>
        <w:rPr>
          <w:rStyle w:val="FontStyle39"/>
          <w:sz w:val="28"/>
          <w:szCs w:val="28"/>
        </w:rPr>
        <w:t>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="00216B0F" w:rsidRPr="00860623">
        <w:rPr>
          <w:rStyle w:val="FontStyle39"/>
          <w:sz w:val="28"/>
          <w:szCs w:val="28"/>
          <w:u w:val="single"/>
        </w:rPr>
        <w:t>рудня.р</w:t>
      </w:r>
      <w:r w:rsidR="00216B0F">
        <w:rPr>
          <w:rStyle w:val="FontStyle39"/>
          <w:sz w:val="28"/>
          <w:szCs w:val="28"/>
          <w:u w:val="single"/>
        </w:rPr>
        <w:t>ф.</w:t>
      </w:r>
    </w:p>
    <w:p w:rsidR="00BC521F" w:rsidRPr="00E05201" w:rsidRDefault="00BC521F" w:rsidP="00E052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hyperlink r:id="rId10" w:history="1"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E05201">
        <w:rPr>
          <w:rFonts w:ascii="Times New Roman" w:hAnsi="Times New Roman"/>
          <w:i/>
          <w:sz w:val="24"/>
          <w:szCs w:val="24"/>
        </w:rPr>
        <w:t xml:space="preserve"> </w:t>
      </w:r>
    </w:p>
    <w:p w:rsidR="00BC521F" w:rsidRPr="00BC521F" w:rsidRDefault="00E05201" w:rsidP="00E0520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(режим) работы Администрации: понедельник-пятница: с 9:00 до 18:00;</w:t>
      </w:r>
    </w:p>
    <w:p w:rsidR="00BC521F" w:rsidRPr="00BC521F" w:rsidRDefault="00E05201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 13:00 до 14:00.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="00E052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 – суббота, воскресенье.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посетителей осуще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рабочие дни с 9:00 до 13:00 и с 14:00 до 18:00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FF6C38" w:rsidP="00FF6C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МФЦ: Российская Федерация, Смоленская область, г.Рудня, пер.Ленинский, д.1е.</w:t>
      </w:r>
    </w:p>
    <w:p w:rsidR="00BC521F" w:rsidRPr="00BC521F" w:rsidRDefault="00BC521F" w:rsidP="00FF6C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обращений): 216790, Российская Федерация, Смоленская область, г.Рудня, пер.Ленинский, д.1е.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нтактные телефоны МФЦ: </w:t>
      </w:r>
      <w:r w:rsidR="00FF6C38">
        <w:rPr>
          <w:rStyle w:val="FontStyle39"/>
          <w:sz w:val="28"/>
          <w:szCs w:val="28"/>
        </w:rPr>
        <w:t>8 (48141) 5-15-45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информационно-телекомму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никационной сети «Интернет»: мфц67.рф.</w:t>
      </w:r>
    </w:p>
    <w:p w:rsidR="00BC521F" w:rsidRPr="00FF6C38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ФЦ</w:t>
      </w:r>
      <w:r w:rsidR="00FF6C38" w:rsidRP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rudnya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F6C38" w:rsidRP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A0" w:rsidRPr="00BC521F" w:rsidRDefault="008149A0" w:rsidP="008149A0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9:00 до 18:00;</w:t>
      </w:r>
    </w:p>
    <w:p w:rsidR="00BC521F" w:rsidRPr="004B5517" w:rsidRDefault="008149A0" w:rsidP="008149A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BC521F" w:rsidRPr="004B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</w:t>
      </w:r>
      <w:r w:rsidR="004B5517" w:rsidRPr="004B55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обед: нет</w:t>
      </w:r>
    </w:p>
    <w:p w:rsidR="00BC521F" w:rsidRPr="008149A0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 –</w:t>
      </w:r>
      <w:r w:rsidR="008149A0" w:rsidRPr="00B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8149A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рудня.рф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«Руднянский голос»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1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ACC">
        <w:rPr>
          <w:rStyle w:val="FontStyle39"/>
          <w:sz w:val="28"/>
          <w:szCs w:val="28"/>
        </w:rPr>
        <w:t>8 (48141) 4-24-51, 4-19-40, 4-18-89</w:t>
      </w:r>
      <w:r w:rsidR="0031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5-15-45.</w:t>
      </w:r>
    </w:p>
    <w:p w:rsidR="00BC521F" w:rsidRPr="00317ACC" w:rsidRDefault="00BC521F" w:rsidP="00317AC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5B74BC" w:rsidRPr="0022032A">
        <w:rPr>
          <w:rFonts w:ascii="Times New Roman" w:hAnsi="Times New Roman" w:cs="Times New Roman"/>
          <w:sz w:val="28"/>
          <w:szCs w:val="28"/>
        </w:rPr>
        <w:t>«</w:t>
      </w:r>
      <w:r w:rsidR="005B74B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5B74BC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5B74BC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5B74BC">
        <w:rPr>
          <w:rFonts w:ascii="Times New Roman" w:hAnsi="Times New Roman" w:cs="Times New Roman"/>
          <w:sz w:val="28"/>
          <w:szCs w:val="28"/>
        </w:rPr>
        <w:t>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F97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4BD1">
        <w:rPr>
          <w:rFonts w:ascii="Times New Roman" w:hAnsi="Times New Roman" w:cs="Times New Roman"/>
          <w:sz w:val="28"/>
          <w:szCs w:val="28"/>
        </w:rPr>
        <w:t xml:space="preserve"> </w:t>
      </w:r>
      <w:r w:rsidR="00004BD1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="00004BD1">
        <w:rPr>
          <w:rFonts w:ascii="Times New Roman" w:hAnsi="Times New Roman" w:cs="Times New Roman"/>
          <w:sz w:val="28"/>
          <w:szCs w:val="28"/>
        </w:rPr>
        <w:t>.</w:t>
      </w:r>
    </w:p>
    <w:p w:rsidR="00D81AB8" w:rsidRPr="006A64AC" w:rsidRDefault="00004BD1" w:rsidP="006A64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B04F4" w:rsidRPr="004B5517" w:rsidRDefault="00DB04F4" w:rsidP="00DB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- решение о постановке гражданина на учет;</w:t>
      </w:r>
    </w:p>
    <w:p w:rsidR="00D81AB8" w:rsidRPr="004B5517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4B5517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 w:rsidRPr="004B5517">
        <w:rPr>
          <w:rFonts w:ascii="Times New Roman" w:hAnsi="Times New Roman" w:cs="Times New Roman"/>
          <w:sz w:val="28"/>
          <w:szCs w:val="28"/>
        </w:rPr>
        <w:t>муниципальной</w:t>
      </w:r>
      <w:r w:rsidRPr="004B5517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Pr="004B5517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4B551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4B5517">
        <w:rPr>
          <w:rFonts w:ascii="Times New Roman" w:hAnsi="Times New Roman" w:cs="Times New Roman"/>
          <w:sz w:val="28"/>
          <w:szCs w:val="28"/>
        </w:rPr>
        <w:t>;</w:t>
      </w:r>
    </w:p>
    <w:p w:rsidR="00BC521F" w:rsidRPr="004B5517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- постановления Администрации об отказе в предоставлении земельного участка в общую долевую собственность бесплатно и снятии гражданина с учета</w:t>
      </w:r>
      <w:r w:rsidR="00BE173C" w:rsidRPr="004B5517">
        <w:rPr>
          <w:rFonts w:ascii="Times New Roman" w:hAnsi="Times New Roman" w:cs="Times New Roman"/>
          <w:sz w:val="28"/>
          <w:szCs w:val="28"/>
        </w:rPr>
        <w:t>;</w:t>
      </w:r>
    </w:p>
    <w:p w:rsidR="00DB04F4" w:rsidRPr="004B5517" w:rsidRDefault="00DB04F4" w:rsidP="00DB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- постановления о постановке гражданина на учет;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4B5517" w:rsidRDefault="007A77FE" w:rsidP="007A77FE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1F6"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 w:rsidR="001911F6">
        <w:rPr>
          <w:rFonts w:ascii="Times New Roman" w:hAnsi="Times New Roman" w:cs="Times New Roman"/>
          <w:sz w:val="28"/>
          <w:szCs w:val="28"/>
        </w:rPr>
        <w:t xml:space="preserve">,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 w:rsidR="001911F6">
        <w:rPr>
          <w:rFonts w:ascii="Times New Roman" w:hAnsi="Times New Roman" w:cs="Times New Roman"/>
          <w:sz w:val="28"/>
          <w:szCs w:val="28"/>
        </w:rPr>
        <w:t xml:space="preserve">или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1911F6"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</w:t>
      </w:r>
      <w:r w:rsidR="001911F6" w:rsidRPr="004B55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4B5517">
        <w:rPr>
          <w:rFonts w:ascii="Times New Roman" w:hAnsi="Times New Roman"/>
          <w:sz w:val="28"/>
          <w:szCs w:val="28"/>
        </w:rPr>
        <w:t xml:space="preserve">муниципального образования Руднянский   район  Смоленской области (далее </w:t>
      </w:r>
      <w:r w:rsidRPr="004B55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B5517">
        <w:rPr>
          <w:rFonts w:ascii="Times New Roman" w:hAnsi="Times New Roman"/>
          <w:sz w:val="28"/>
          <w:szCs w:val="28"/>
        </w:rPr>
        <w:t>муниципального образования)</w:t>
      </w:r>
      <w:r w:rsidR="001911F6" w:rsidRPr="004B5517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5517"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="003A32FA" w:rsidRPr="004B5517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 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DB04F4" w:rsidRPr="004B5517" w:rsidRDefault="00DB04F4" w:rsidP="00DB04F4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           Федеральным законом от 27.07.2010 № 210-ФЗ «Об организации предоставления государственных и муниципальных услуг»;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 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03799" w:rsidRDefault="00C7180C" w:rsidP="00103799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муниципального образования Руднянский район С</w:t>
      </w:r>
      <w:r w:rsidR="00DF62EB">
        <w:rPr>
          <w:rFonts w:ascii="Times New Roman" w:hAnsi="Times New Roman" w:cs="Times New Roman"/>
          <w:sz w:val="28"/>
          <w:szCs w:val="28"/>
        </w:rPr>
        <w:t>моленской области от 16.12.2016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3799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сроков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обновления списка граждан, обладающих правом на получение земельного участка в собственность бесплатно для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из земель,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области), в целях бесплатного предоставления таких земельных участков гражданам, имеющим трех и более детей для  индивидуального 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строительства»</w:t>
      </w:r>
      <w:r w:rsidR="0010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FC6" w:rsidRDefault="00103799" w:rsidP="004B3FC6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муниципального образования Руднянский район </w:t>
      </w:r>
      <w:r w:rsidR="00DF62EB">
        <w:rPr>
          <w:rFonts w:ascii="Times New Roman" w:hAnsi="Times New Roman" w:cs="Times New Roman"/>
          <w:sz w:val="28"/>
          <w:szCs w:val="28"/>
        </w:rPr>
        <w:t>Смоленской области от 16.12.2016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62EB">
        <w:rPr>
          <w:rFonts w:ascii="Times New Roman" w:hAnsi="Times New Roman" w:cs="Times New Roman"/>
          <w:sz w:val="28"/>
          <w:szCs w:val="28"/>
        </w:rPr>
        <w:t xml:space="preserve"> 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земельных участков, для предоставления в собственность граждан, имеющих трех и более детей, бесплатно из земель, государственная собственность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области),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бесплатного предоставления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земельных участков гражданам,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трех и более детей для  индивидуального  жилищного строительства</w:t>
      </w:r>
      <w:r w:rsidR="00373A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3A1B" w:rsidRPr="004B5517" w:rsidRDefault="00373A1B" w:rsidP="00373A1B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B04F4" w:rsidRPr="004B5517">
        <w:rPr>
          <w:rStyle w:val="FontStyle39"/>
          <w:sz w:val="28"/>
          <w:szCs w:val="28"/>
        </w:rPr>
        <w:t>брания от 27 июня 2005 года №33.</w:t>
      </w:r>
    </w:p>
    <w:p w:rsidR="00DB04F4" w:rsidRPr="004B5517" w:rsidRDefault="00DB04F4" w:rsidP="00373A1B">
      <w:pPr>
        <w:pStyle w:val="Style9"/>
        <w:widowControl/>
        <w:ind w:firstLine="696"/>
        <w:rPr>
          <w:rStyle w:val="FontStyle39"/>
          <w:sz w:val="28"/>
          <w:szCs w:val="28"/>
        </w:rPr>
      </w:pPr>
    </w:p>
    <w:p w:rsidR="00D81AB8" w:rsidRPr="00C7180C" w:rsidRDefault="00C7180C" w:rsidP="00C7180C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 w:rsidP="00C71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 w:rsidP="00C71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9C4D6E" w:rsidP="009C4D6E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AB8" w:rsidRPr="00D81AB8">
        <w:rPr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Style w:val="FontStyle39"/>
          <w:sz w:val="28"/>
          <w:szCs w:val="28"/>
        </w:rPr>
        <w:t>216790 Российская Федерация,   Смоленская область,  г.Рудня, ул.Киреева, д.93</w:t>
      </w:r>
      <w:r>
        <w:rPr>
          <w:sz w:val="28"/>
          <w:szCs w:val="28"/>
          <w:lang w:eastAsia="ru-RU"/>
        </w:rPr>
        <w:t>.</w:t>
      </w:r>
    </w:p>
    <w:p w:rsidR="00D81AB8" w:rsidRPr="00D81AB8" w:rsidRDefault="009C4D6E" w:rsidP="009C4D6E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AB8" w:rsidRPr="00D81AB8">
        <w:rPr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Style w:val="FontStyle39"/>
          <w:sz w:val="28"/>
          <w:szCs w:val="28"/>
        </w:rPr>
        <w:t>216790 Российская Федерация,   Смоленская область,  г.Рудня, ул.Киреева, д.93</w:t>
      </w:r>
      <w:r w:rsidRPr="00BC521F">
        <w:rPr>
          <w:sz w:val="28"/>
          <w:szCs w:val="28"/>
          <w:lang w:eastAsia="ru-RU"/>
        </w:rPr>
        <w:t>.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2673A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E0232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E0232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 w:rsidRPr="00DE0232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4B5517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 w:rsidRPr="004B5517">
        <w:rPr>
          <w:rFonts w:ascii="Times New Roman" w:hAnsi="Times New Roman" w:cs="Times New Roman"/>
          <w:sz w:val="28"/>
          <w:szCs w:val="28"/>
        </w:rPr>
        <w:t>Администрации</w:t>
      </w:r>
      <w:r w:rsidR="0038474F" w:rsidRPr="004B5517">
        <w:rPr>
          <w:rFonts w:ascii="Times New Roman" w:hAnsi="Times New Roman" w:cs="Times New Roman"/>
          <w:sz w:val="28"/>
          <w:szCs w:val="28"/>
        </w:rPr>
        <w:t>,</w:t>
      </w:r>
      <w:r w:rsidR="0038474F" w:rsidRPr="004B5517">
        <w:rPr>
          <w:rFonts w:eastAsia="Calibri"/>
          <w:szCs w:val="28"/>
          <w:lang w:eastAsia="en-US"/>
        </w:rPr>
        <w:t xml:space="preserve"> </w:t>
      </w:r>
      <w:r w:rsidR="0038474F" w:rsidRPr="004B5517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4B5517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 w:rsidRPr="004B5517">
        <w:rPr>
          <w:rFonts w:ascii="Times New Roman" w:hAnsi="Times New Roman" w:cs="Times New Roman"/>
          <w:sz w:val="28"/>
          <w:szCs w:val="28"/>
        </w:rPr>
        <w:t>муниципальных</w:t>
      </w:r>
      <w:r w:rsidRPr="004B5517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461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 w:rsidRPr="004B5517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4B5517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 w:rsidRPr="004B5517">
        <w:rPr>
          <w:rFonts w:ascii="Times New Roman" w:hAnsi="Times New Roman" w:cs="Times New Roman"/>
          <w:sz w:val="28"/>
          <w:szCs w:val="28"/>
        </w:rPr>
        <w:t>нтами в Администрацию по почте</w:t>
      </w:r>
      <w:r w:rsidR="00750538" w:rsidRPr="004B5517">
        <w:rPr>
          <w:rFonts w:ascii="Times New Roman" w:hAnsi="Times New Roman" w:cs="Times New Roman"/>
          <w:sz w:val="28"/>
          <w:szCs w:val="28"/>
        </w:rPr>
        <w:t>, либо через Единый портал госуслуг и/или Региональный портал госуслуг.</w:t>
      </w:r>
      <w:r w:rsidR="00750538" w:rsidRPr="004B5517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 xml:space="preserve">делопроизводства, </w:t>
      </w:r>
      <w:r w:rsidR="005C4B25" w:rsidRPr="004B551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Pr="004B5517">
        <w:rPr>
          <w:rFonts w:ascii="Times New Roman" w:hAnsi="Times New Roman" w:cs="Times New Roman"/>
          <w:sz w:val="28"/>
          <w:szCs w:val="28"/>
        </w:rPr>
        <w:t xml:space="preserve">лаве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5517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4B5517" w:rsidRDefault="005C4B25" w:rsidP="004B5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 w:rsidRPr="004B5517"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рассмотрение заявлений граждан о предоставлении земельного участка в собственность бесплатно.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</w:t>
      </w:r>
      <w:r w:rsidR="00737B7E">
        <w:rPr>
          <w:rFonts w:ascii="Times New Roman" w:hAnsi="Times New Roman" w:cs="Times New Roman"/>
          <w:sz w:val="28"/>
          <w:szCs w:val="28"/>
        </w:rPr>
        <w:t>м, не должен превышать 1 дня</w:t>
      </w:r>
      <w:r w:rsidRPr="004B5517">
        <w:rPr>
          <w:rFonts w:ascii="Times New Roman" w:hAnsi="Times New Roman" w:cs="Times New Roman"/>
          <w:sz w:val="28"/>
          <w:szCs w:val="28"/>
        </w:rPr>
        <w:t>.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4B5517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4B5517">
        <w:rPr>
          <w:rFonts w:ascii="Times New Roman" w:hAnsi="Times New Roman" w:cs="Times New Roman"/>
          <w:sz w:val="28"/>
          <w:szCs w:val="28"/>
        </w:rPr>
        <w:t>и прилага</w:t>
      </w:r>
      <w:r w:rsidR="00A407B6" w:rsidRPr="004B5517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Pr="004B5517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5517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CD1A63">
        <w:rPr>
          <w:rFonts w:ascii="Times New Roman" w:hAnsi="Times New Roman" w:cs="Times New Roman"/>
          <w:sz w:val="28"/>
          <w:szCs w:val="28"/>
        </w:rPr>
        <w:t xml:space="preserve">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</w:t>
      </w:r>
      <w:r w:rsidR="00737B7E">
        <w:rPr>
          <w:rFonts w:ascii="Times New Roman" w:hAnsi="Times New Roman" w:cs="Times New Roman"/>
          <w:sz w:val="28"/>
          <w:szCs w:val="28"/>
        </w:rPr>
        <w:t>одразделом, составляет 5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76201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7B7726" w:rsidRPr="00D76201">
        <w:rPr>
          <w:rFonts w:ascii="Times New Roman" w:hAnsi="Times New Roman" w:cs="Times New Roman"/>
          <w:sz w:val="28"/>
          <w:szCs w:val="28"/>
        </w:rPr>
        <w:t>3</w:t>
      </w:r>
      <w:r w:rsidR="00D81AB8" w:rsidRPr="00D76201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</w:t>
      </w:r>
      <w:r w:rsidR="00E64DCF" w:rsidRPr="00D76201">
        <w:rPr>
          <w:rFonts w:ascii="Times New Roman" w:hAnsi="Times New Roman" w:cs="Times New Roman"/>
          <w:sz w:val="28"/>
          <w:szCs w:val="28"/>
        </w:rPr>
        <w:t>5</w:t>
      </w:r>
      <w:r w:rsidR="00D81AB8" w:rsidRPr="00D76201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 w:rsidRPr="00D76201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76201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A63462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A63462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8A298D" w:rsidRPr="006B203B" w:rsidRDefault="006C79F5" w:rsidP="006B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A63462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63462">
        <w:rPr>
          <w:rFonts w:ascii="Times New Roman" w:hAnsi="Times New Roman"/>
          <w:sz w:val="28"/>
          <w:szCs w:val="28"/>
        </w:rPr>
        <w:t>по экономике, управлению</w:t>
      </w:r>
      <w:r w:rsidR="00A63462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A63462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A63462">
        <w:rPr>
          <w:rFonts w:ascii="Times New Roman" w:hAnsi="Times New Roman" w:cs="Times New Roman"/>
          <w:sz w:val="28"/>
          <w:szCs w:val="28"/>
        </w:rPr>
        <w:t xml:space="preserve">, начальником юридического отдела, управляющим делами </w:t>
      </w:r>
      <w:r w:rsidR="008A298D">
        <w:rPr>
          <w:rFonts w:ascii="Times New Roman" w:hAnsi="Times New Roman" w:cs="Times New Roman"/>
          <w:sz w:val="28"/>
          <w:szCs w:val="28"/>
        </w:rPr>
        <w:t>и по</w:t>
      </w:r>
      <w:r w:rsidR="00A63462">
        <w:rPr>
          <w:rFonts w:ascii="Times New Roman" w:hAnsi="Times New Roman" w:cs="Times New Roman"/>
          <w:sz w:val="28"/>
          <w:szCs w:val="28"/>
        </w:rPr>
        <w:t>дписывается Главой 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8A298D" w:rsidRPr="006B203B" w:rsidRDefault="00E075A9" w:rsidP="006B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визируется</w:t>
      </w:r>
      <w:r w:rsidR="00A63462">
        <w:rPr>
          <w:rFonts w:ascii="Times New Roman" w:hAnsi="Times New Roman" w:cs="Times New Roman"/>
          <w:sz w:val="28"/>
          <w:szCs w:val="28"/>
        </w:rPr>
        <w:t xml:space="preserve"> начальником отдела </w:t>
      </w:r>
      <w:r w:rsidR="00A63462">
        <w:rPr>
          <w:rFonts w:ascii="Times New Roman" w:hAnsi="Times New Roman"/>
          <w:sz w:val="28"/>
          <w:szCs w:val="28"/>
        </w:rPr>
        <w:t>по экономике, управлению</w:t>
      </w:r>
      <w:r w:rsidR="00A63462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A63462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A63462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8A298D">
        <w:rPr>
          <w:rFonts w:ascii="Times New Roman" w:hAnsi="Times New Roman" w:cs="Times New Roman"/>
          <w:sz w:val="20"/>
        </w:rPr>
        <w:t xml:space="preserve">  </w:t>
      </w:r>
      <w:r w:rsidR="00A63462">
        <w:rPr>
          <w:rFonts w:ascii="Times New Roman" w:hAnsi="Times New Roman" w:cs="Times New Roman"/>
          <w:sz w:val="20"/>
        </w:rPr>
        <w:t xml:space="preserve">          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</w:t>
      </w:r>
      <w:r w:rsidR="00737B7E">
        <w:rPr>
          <w:rFonts w:ascii="Times New Roman" w:hAnsi="Times New Roman" w:cs="Times New Roman"/>
          <w:sz w:val="28"/>
          <w:szCs w:val="28"/>
        </w:rPr>
        <w:t>одразделом, составляет 19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Pr="00D76201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B92C5C" w:rsidRPr="00D76201">
        <w:rPr>
          <w:rFonts w:ascii="Times New Roman" w:hAnsi="Times New Roman" w:cs="Times New Roman"/>
          <w:sz w:val="28"/>
          <w:szCs w:val="28"/>
        </w:rPr>
        <w:t>5</w:t>
      </w:r>
      <w:r w:rsidRPr="00D76201">
        <w:rPr>
          <w:rFonts w:ascii="Times New Roman" w:hAnsi="Times New Roman" w:cs="Times New Roman"/>
          <w:sz w:val="28"/>
          <w:szCs w:val="28"/>
        </w:rPr>
        <w:t>.5.</w:t>
      </w:r>
      <w:r w:rsidR="00AC08FE" w:rsidRPr="00D76201">
        <w:rPr>
          <w:rFonts w:ascii="Times New Roman" w:hAnsi="Times New Roman" w:cs="Times New Roman"/>
          <w:sz w:val="28"/>
          <w:szCs w:val="28"/>
        </w:rPr>
        <w:t xml:space="preserve"> </w:t>
      </w:r>
      <w:r w:rsidRPr="00D762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 w:rsidRPr="00D76201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D76201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D76201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B92C5C" w:rsidRPr="00D76201">
        <w:rPr>
          <w:rFonts w:ascii="Times New Roman" w:hAnsi="Times New Roman" w:cs="Times New Roman"/>
          <w:sz w:val="28"/>
          <w:szCs w:val="28"/>
        </w:rPr>
        <w:t>6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предусмотренной настоящим подразделом, составляет </w:t>
      </w:r>
      <w:r w:rsidR="00E64DCF" w:rsidRPr="00D76201">
        <w:rPr>
          <w:rFonts w:ascii="Times New Roman" w:hAnsi="Times New Roman" w:cs="Times New Roman"/>
          <w:sz w:val="28"/>
          <w:szCs w:val="28"/>
        </w:rPr>
        <w:t>5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B92C5C" w:rsidRPr="00D76201">
        <w:rPr>
          <w:rFonts w:ascii="Times New Roman" w:hAnsi="Times New Roman" w:cs="Times New Roman"/>
          <w:sz w:val="28"/>
          <w:szCs w:val="28"/>
        </w:rPr>
        <w:t>6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</w:t>
      </w:r>
      <w:r w:rsidR="006A6680" w:rsidRPr="006A6680">
        <w:rPr>
          <w:rFonts w:ascii="Times New Roman" w:hAnsi="Times New Roman" w:cs="Times New Roman"/>
          <w:sz w:val="28"/>
          <w:szCs w:val="28"/>
        </w:rPr>
        <w:t>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 w:rsidR="00D84A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</w:t>
      </w:r>
      <w:r w:rsidR="001E2094">
        <w:rPr>
          <w:rFonts w:ascii="Times New Roman" w:hAnsi="Times New Roman" w:cs="Times New Roman"/>
          <w:sz w:val="28"/>
          <w:szCs w:val="28"/>
        </w:rPr>
        <w:t xml:space="preserve">домления 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E2094" w:rsidRDefault="00347711" w:rsidP="001E2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визируется</w:t>
      </w:r>
      <w:r w:rsidR="001E2094" w:rsidRPr="001E2094">
        <w:rPr>
          <w:rFonts w:ascii="Times New Roman" w:hAnsi="Times New Roman" w:cs="Times New Roman"/>
          <w:sz w:val="28"/>
          <w:szCs w:val="28"/>
        </w:rPr>
        <w:t xml:space="preserve"> </w:t>
      </w:r>
      <w:r w:rsidR="001E2094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E2094">
        <w:rPr>
          <w:rFonts w:ascii="Times New Roman" w:hAnsi="Times New Roman"/>
          <w:sz w:val="28"/>
          <w:szCs w:val="28"/>
        </w:rPr>
        <w:t>по экономике, управлению</w:t>
      </w:r>
      <w:r w:rsidR="001E2094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1E2094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1E2094">
        <w:rPr>
          <w:rFonts w:ascii="Times New Roman" w:hAnsi="Times New Roman" w:cs="Times New Roman"/>
          <w:sz w:val="28"/>
          <w:szCs w:val="28"/>
        </w:rPr>
        <w:t>, начальником юридического отдела, управляющим делами и подписывается Главой муниципального образования</w:t>
      </w:r>
      <w:r w:rsidR="001E2094" w:rsidRPr="00D81AB8">
        <w:rPr>
          <w:rFonts w:ascii="Times New Roman" w:hAnsi="Times New Roman" w:cs="Times New Roman"/>
          <w:sz w:val="28"/>
          <w:szCs w:val="28"/>
        </w:rPr>
        <w:t>.</w:t>
      </w:r>
    </w:p>
    <w:p w:rsidR="00152856" w:rsidRPr="00B459BE" w:rsidRDefault="00152856" w:rsidP="00B45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</w:t>
      </w:r>
      <w:r w:rsidR="001E2094" w:rsidRPr="001E2094">
        <w:rPr>
          <w:rFonts w:ascii="Times New Roman" w:hAnsi="Times New Roman" w:cs="Times New Roman"/>
          <w:sz w:val="28"/>
          <w:szCs w:val="28"/>
        </w:rPr>
        <w:t xml:space="preserve"> </w:t>
      </w:r>
      <w:r w:rsidR="001E2094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E2094">
        <w:rPr>
          <w:rFonts w:ascii="Times New Roman" w:hAnsi="Times New Roman"/>
          <w:sz w:val="28"/>
          <w:szCs w:val="28"/>
        </w:rPr>
        <w:t>по экономике, управлению</w:t>
      </w:r>
      <w:r w:rsidR="001E2094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1E2094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r w:rsidR="001E2094">
        <w:rPr>
          <w:rFonts w:ascii="Times New Roman" w:hAnsi="Times New Roman" w:cs="Times New Roman"/>
          <w:sz w:val="28"/>
          <w:szCs w:val="28"/>
        </w:rPr>
        <w:t>и подписывается Главой муниципального образования</w:t>
      </w:r>
      <w:r w:rsidR="001E2094" w:rsidRPr="00D81AB8"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</w:t>
      </w:r>
      <w:r w:rsidR="00737B7E">
        <w:rPr>
          <w:rFonts w:ascii="Times New Roman" w:hAnsi="Times New Roman" w:cs="Times New Roman"/>
          <w:sz w:val="28"/>
          <w:szCs w:val="28"/>
        </w:rPr>
        <w:t>м подразделом, составляет 10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77FE"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410582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7427" w:rsidRPr="000F1D54" w:rsidRDefault="00327427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27" w:rsidRPr="00302A09" w:rsidRDefault="00327427" w:rsidP="00302A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09">
        <w:rPr>
          <w:rFonts w:ascii="Times New Roman" w:hAnsi="Times New Roman" w:cs="Times New Roman"/>
          <w:b/>
          <w:sz w:val="28"/>
          <w:szCs w:val="28"/>
        </w:rPr>
        <w:t>4. Формы контроля за  исполнением Административного регламента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327427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302A09" w:rsidRPr="00302A09" w:rsidRDefault="00302A09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2B3" w:rsidRPr="00302A09" w:rsidRDefault="00327427" w:rsidP="00302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Style w:val="FontStyle39"/>
          <w:sz w:val="28"/>
          <w:szCs w:val="28"/>
        </w:rPr>
        <w:t>4.1.1.</w:t>
      </w:r>
      <w:r w:rsidRPr="00302A09">
        <w:rPr>
          <w:rStyle w:val="FontStyle39"/>
          <w:sz w:val="28"/>
          <w:szCs w:val="28"/>
        </w:rPr>
        <w:tab/>
        <w:t>Текущий контроль соблюдения последовательности действий,</w:t>
      </w:r>
      <w:r w:rsidRPr="00302A09">
        <w:rPr>
          <w:rStyle w:val="FontStyle39"/>
          <w:sz w:val="28"/>
          <w:szCs w:val="28"/>
        </w:rPr>
        <w:br/>
        <w:t>определенных административными процедурами по предоставлению</w:t>
      </w:r>
      <w:r w:rsidRPr="00302A09">
        <w:rPr>
          <w:rStyle w:val="FontStyle39"/>
          <w:sz w:val="28"/>
          <w:szCs w:val="28"/>
        </w:rPr>
        <w:br/>
        <w:t xml:space="preserve">муниципальной услуги, и принятием решений осуществляется </w:t>
      </w:r>
      <w:r w:rsidR="00F842B3" w:rsidRPr="00302A09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F842B3" w:rsidRPr="00302A09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отношениям.</w:t>
      </w:r>
    </w:p>
    <w:p w:rsidR="00327427" w:rsidRPr="00302A09" w:rsidRDefault="00F842B3" w:rsidP="00302A09">
      <w:pPr>
        <w:pStyle w:val="Style27"/>
        <w:widowControl/>
        <w:tabs>
          <w:tab w:val="left" w:pos="133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302A09">
        <w:rPr>
          <w:rStyle w:val="FontStyle39"/>
          <w:sz w:val="28"/>
          <w:szCs w:val="28"/>
        </w:rPr>
        <w:t xml:space="preserve">         </w:t>
      </w:r>
      <w:r w:rsidR="00327427" w:rsidRPr="00302A09">
        <w:rPr>
          <w:rStyle w:val="FontStyle39"/>
          <w:sz w:val="28"/>
          <w:szCs w:val="28"/>
        </w:rPr>
        <w:t>4.1.2.</w:t>
      </w:r>
      <w:r w:rsidR="00327427" w:rsidRPr="00302A09">
        <w:rPr>
          <w:rStyle w:val="FontStyle39"/>
          <w:sz w:val="28"/>
          <w:szCs w:val="28"/>
        </w:rPr>
        <w:tab/>
        <w:t xml:space="preserve">Текущий контроль может быть плановым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 w:rsidR="00327427" w:rsidRPr="00302A09">
        <w:rPr>
          <w:rStyle w:val="FontStyle40"/>
          <w:sz w:val="28"/>
          <w:szCs w:val="28"/>
        </w:rPr>
        <w:t xml:space="preserve">(тематические </w:t>
      </w:r>
      <w:r w:rsidR="00327427" w:rsidRPr="00302A09">
        <w:rPr>
          <w:rStyle w:val="FontStyle39"/>
          <w:sz w:val="28"/>
          <w:szCs w:val="28"/>
        </w:rPr>
        <w:t>проверки).</w:t>
      </w:r>
    </w:p>
    <w:p w:rsidR="00327427" w:rsidRPr="00302A09" w:rsidRDefault="00327427" w:rsidP="00302A09">
      <w:pPr>
        <w:pStyle w:val="Style32"/>
        <w:widowControl/>
        <w:tabs>
          <w:tab w:val="left" w:pos="470"/>
        </w:tabs>
        <w:ind w:firstLine="851"/>
        <w:jc w:val="both"/>
        <w:rPr>
          <w:rStyle w:val="FontStyle39"/>
          <w:sz w:val="28"/>
          <w:szCs w:val="28"/>
        </w:rPr>
      </w:pP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Руднянский район Смоленской области.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27" w:rsidRDefault="00327427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02A09" w:rsidRPr="00302A09" w:rsidRDefault="00302A09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375B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Администрации,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92C5C" w:rsidRPr="00302A09" w:rsidRDefault="00B92C5C" w:rsidP="00302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842B3" w:rsidRPr="00302A09" w:rsidRDefault="00F842B3" w:rsidP="00302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на информационно-телекоммуникационной сети «Интернет» муниципального образования Руднянский район Смоленской области: рудня.рф;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  <w:lang w:eastAsia="x-none"/>
        </w:rPr>
        <w:t xml:space="preserve">2) </w:t>
      </w:r>
      <w:r w:rsidRPr="00302A09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муниципального образования Руднянский район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5.5.1 Жалоба может быть подана заявителем через МФЦ.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F842B3" w:rsidRPr="00302A09" w:rsidRDefault="00F842B3" w:rsidP="00302A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 xml:space="preserve">  5.5.2. Жалоба на нарушение порядка предоставления муниципальной услуги, переданная через МФЦ, рассматривается </w:t>
      </w:r>
      <w:r w:rsidRPr="00302A0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302A09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 w:rsidRPr="00302A09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302A09">
        <w:rPr>
          <w:rFonts w:ascii="Times New Roman" w:hAnsi="Times New Roman" w:cs="Times New Roman"/>
          <w:sz w:val="28"/>
          <w:szCs w:val="28"/>
        </w:rPr>
        <w:t xml:space="preserve"> услугу, заключившим соглашение о взаимодействии.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eastAsia="Arial Unicode MS" w:hAnsi="Times New Roman" w:cs="Times New Roman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 w:rsidRPr="00302A09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11.2 Федерального закона от 27.07.2010г. №210-ФЗ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A3552" w:rsidRPr="00302A09" w:rsidRDefault="005A3552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552" w:rsidRPr="00302A09" w:rsidRDefault="005A3552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552" w:rsidRPr="00302A09" w:rsidRDefault="005A3552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302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DE02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2673AE" w:rsidRDefault="002673AE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2673AE" w:rsidRDefault="002673AE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2673AE" w:rsidRDefault="002673AE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2673AE" w:rsidRDefault="002673AE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2673AE" w:rsidRDefault="002673AE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2673AE" w:rsidRDefault="002673AE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84D92" w:rsidRPr="0022032A">
        <w:rPr>
          <w:rFonts w:ascii="Times New Roman" w:hAnsi="Times New Roman" w:cs="Times New Roman"/>
          <w:sz w:val="28"/>
          <w:szCs w:val="28"/>
        </w:rPr>
        <w:t>«</w:t>
      </w:r>
      <w:r w:rsidR="00E84D92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E84D92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E84D9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E84D92">
        <w:rPr>
          <w:rFonts w:ascii="Times New Roman" w:hAnsi="Times New Roman" w:cs="Times New Roman"/>
          <w:sz w:val="28"/>
          <w:szCs w:val="28"/>
        </w:rPr>
        <w:t>»</w:t>
      </w:r>
    </w:p>
    <w:p w:rsidR="00E84D92" w:rsidRDefault="00E84D92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B95903" w:rsidRDefault="00B95903" w:rsidP="00B9590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Руднянский                                                                                                           </w:t>
      </w:r>
      <w:r w:rsidRPr="00B959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CA7333" w:rsidRPr="00B959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84D92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Pr="002673AE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</w:t>
      </w:r>
      <w:r w:rsidR="002673AE">
        <w:rPr>
          <w:rFonts w:ascii="Times New Roman" w:hAnsi="Times New Roman" w:cs="Times New Roman"/>
          <w:sz w:val="28"/>
          <w:szCs w:val="28"/>
        </w:rPr>
        <w:t>ории МО Руднянский район Смоленской области.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6B89"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673AE" w:rsidRPr="00D81AB8" w:rsidRDefault="00267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Default="00E723F3" w:rsidP="00E84D92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92" w:rsidRPr="0022032A">
        <w:rPr>
          <w:rFonts w:ascii="Times New Roman" w:hAnsi="Times New Roman" w:cs="Times New Roman"/>
          <w:sz w:val="28"/>
          <w:szCs w:val="28"/>
        </w:rPr>
        <w:t>«</w:t>
      </w:r>
      <w:r w:rsidR="00E84D92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E84D92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E84D9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E84D92">
        <w:rPr>
          <w:rFonts w:ascii="Times New Roman" w:hAnsi="Times New Roman" w:cs="Times New Roman"/>
          <w:sz w:val="28"/>
          <w:szCs w:val="28"/>
        </w:rPr>
        <w:t>»</w:t>
      </w:r>
    </w:p>
    <w:p w:rsidR="00E84D92" w:rsidRPr="00D81AB8" w:rsidRDefault="00E84D92" w:rsidP="00E84D92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390D76" w:rsidRDefault="004B5517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4B5517" w:rsidRDefault="004B5517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4B5517" w:rsidRPr="00390D76" w:rsidRDefault="004B5517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4B5517" w:rsidRDefault="004B5517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4B5517" w:rsidRPr="00C729CF" w:rsidRDefault="004B5517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4B5517" w:rsidRPr="00C729CF" w:rsidRDefault="004B5517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4B5517" w:rsidRPr="00C729CF" w:rsidRDefault="004B5517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4B5517" w:rsidRDefault="004B5517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4B5517" w:rsidRPr="00C729CF" w:rsidRDefault="004B551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4B5517" w:rsidRDefault="004B5517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A1D3B" w:rsidRDefault="004B5517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4B5517" w:rsidRPr="00CA1D3B" w:rsidRDefault="004B5517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5B2A59" w:rsidRPr="00E84D92" w:rsidRDefault="00C729CF" w:rsidP="00E84D92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1A076A" wp14:editId="5A9B3E4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D92">
        <w:rPr>
          <w:rFonts w:ascii="Times New Roman" w:hAnsi="Times New Roman" w:cs="Times New Roman"/>
          <w:sz w:val="24"/>
          <w:szCs w:val="24"/>
        </w:rPr>
        <w:t>не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Default="004B5517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4B5517" w:rsidRDefault="004B5517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4B5517" w:rsidRDefault="004B5517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4B5517" w:rsidRDefault="004B5517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4B5517" w:rsidRPr="00C729CF" w:rsidRDefault="004B551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4B5517" w:rsidRDefault="004B5517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4B5517" w:rsidRPr="00C729CF" w:rsidRDefault="004B551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4B5517" w:rsidRPr="00C729CF" w:rsidRDefault="004B551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F85AC1" w:rsidRDefault="004B5517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4B5517" w:rsidRPr="00F85AC1" w:rsidRDefault="004B5517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C729CF" w:rsidRDefault="004B5517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4B5517" w:rsidRDefault="004B5517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4B5517" w:rsidRPr="00C729CF" w:rsidRDefault="004B5517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4B5517" w:rsidRDefault="004B5517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CA1D3B" w:rsidRDefault="004B5517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4B5517" w:rsidRPr="00CA1D3B" w:rsidRDefault="004B5517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690EBB" w:rsidRDefault="004B5517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4B5517" w:rsidRDefault="004B5517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4B5517" w:rsidRPr="00690EBB" w:rsidRDefault="004B5517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4B5517" w:rsidRDefault="004B5517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4B5517" w:rsidRDefault="004B5517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4B5517" w:rsidRDefault="004B5517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4B5517" w:rsidRDefault="004B5517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4B5517" w:rsidRDefault="004B5517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4B5517" w:rsidRDefault="004B5517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4B5517" w:rsidRDefault="004B5517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5C58E2" w:rsidRDefault="004B5517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4B5517" w:rsidRPr="005C58E2" w:rsidRDefault="004B5517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2F7909" w:rsidRDefault="004B5517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4B5517" w:rsidRPr="007F36CB" w:rsidRDefault="004B5517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4B5517" w:rsidRPr="002F7909" w:rsidRDefault="004B5517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4B5517" w:rsidRPr="007F36CB" w:rsidRDefault="004B5517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390D76" w:rsidRDefault="004B5517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4B5517" w:rsidRPr="00390D76" w:rsidRDefault="004B5517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390D76" w:rsidRDefault="004B5517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4B5517" w:rsidRDefault="004B5517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4B5517" w:rsidRPr="00390D76" w:rsidRDefault="004B5517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4B5517" w:rsidRDefault="004B5517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6"/>
      <w:footerReference w:type="defaul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58" w:rsidRDefault="00BB6A58" w:rsidP="007A16C9">
      <w:pPr>
        <w:spacing w:after="0" w:line="240" w:lineRule="auto"/>
      </w:pPr>
      <w:r>
        <w:separator/>
      </w:r>
    </w:p>
  </w:endnote>
  <w:endnote w:type="continuationSeparator" w:id="0">
    <w:p w:rsidR="00BB6A58" w:rsidRDefault="00BB6A5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17" w:rsidRPr="00BC665D" w:rsidRDefault="004B5517" w:rsidP="00BC665D">
    <w:pPr>
      <w:pStyle w:val="a6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B79" w:rsidRPr="00B47B79" w:rsidRDefault="00B47B79">
    <w:pPr>
      <w:pStyle w:val="a6"/>
      <w:rPr>
        <w:sz w:val="16"/>
      </w:rPr>
    </w:pPr>
    <w:r>
      <w:rPr>
        <w:sz w:val="16"/>
      </w:rPr>
      <w:t>Рег. № П-0076 от 21.02.2018, Подписано ЭП: Ивашкин Юрий Иванович, Глава муниципального образования Руднянский район Смоленской обл 21.02.2018 16:45:59,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58" w:rsidRDefault="00BB6A58" w:rsidP="007A16C9">
      <w:pPr>
        <w:spacing w:after="0" w:line="240" w:lineRule="auto"/>
      </w:pPr>
      <w:r>
        <w:separator/>
      </w:r>
    </w:p>
  </w:footnote>
  <w:footnote w:type="continuationSeparator" w:id="0">
    <w:p w:rsidR="00BB6A58" w:rsidRDefault="00BB6A58" w:rsidP="007A16C9">
      <w:pPr>
        <w:spacing w:after="0" w:line="240" w:lineRule="auto"/>
      </w:pPr>
      <w:r>
        <w:continuationSeparator/>
      </w:r>
    </w:p>
  </w:footnote>
  <w:footnote w:id="1">
    <w:p w:rsidR="004B5517" w:rsidRPr="00E273CC" w:rsidRDefault="004B5517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4B5517" w:rsidRPr="00C51DD5" w:rsidRDefault="004B5517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4B5517" w:rsidRPr="00C2203D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4B5517" w:rsidRPr="00C2203D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4B5517" w:rsidRPr="00C2203D" w:rsidRDefault="004B5517" w:rsidP="0075053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3.1.1.</w:t>
      </w:r>
      <w:r w:rsidRPr="00C2203D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3.1.</w:t>
      </w:r>
      <w:r w:rsidRPr="00C22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раздела 3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6">
    <w:p w:rsidR="004B5517" w:rsidRPr="00E273CC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7">
    <w:p w:rsidR="004B5517" w:rsidRPr="00D90B58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4B5517" w:rsidRPr="00D90B58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083"/>
      <w:docPartObj>
        <w:docPartGallery w:val="Page Numbers (Top of Page)"/>
        <w:docPartUnique/>
      </w:docPartObj>
    </w:sdtPr>
    <w:sdtContent>
      <w:p w:rsidR="004B5517" w:rsidRDefault="004B55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4F">
          <w:rPr>
            <w:noProof/>
          </w:rPr>
          <w:t>4</w:t>
        </w:r>
        <w:r>
          <w:fldChar w:fldCharType="end"/>
        </w:r>
      </w:p>
    </w:sdtContent>
  </w:sdt>
  <w:p w:rsidR="004B5517" w:rsidRDefault="004B55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04BD1"/>
    <w:rsid w:val="00013466"/>
    <w:rsid w:val="00013E05"/>
    <w:rsid w:val="000260DA"/>
    <w:rsid w:val="00047DAF"/>
    <w:rsid w:val="00055C85"/>
    <w:rsid w:val="00056512"/>
    <w:rsid w:val="0005746B"/>
    <w:rsid w:val="000619D9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CFF"/>
    <w:rsid w:val="000F1D54"/>
    <w:rsid w:val="000F3F2D"/>
    <w:rsid w:val="00101C7A"/>
    <w:rsid w:val="00103799"/>
    <w:rsid w:val="00104655"/>
    <w:rsid w:val="00104F9B"/>
    <w:rsid w:val="001123C1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08C2"/>
    <w:rsid w:val="001E2094"/>
    <w:rsid w:val="001E3898"/>
    <w:rsid w:val="001E68B0"/>
    <w:rsid w:val="001F752F"/>
    <w:rsid w:val="00201E63"/>
    <w:rsid w:val="00204D1F"/>
    <w:rsid w:val="00215071"/>
    <w:rsid w:val="00215FA2"/>
    <w:rsid w:val="00216B0F"/>
    <w:rsid w:val="00216C32"/>
    <w:rsid w:val="0022032A"/>
    <w:rsid w:val="0022694F"/>
    <w:rsid w:val="00236FA3"/>
    <w:rsid w:val="00237517"/>
    <w:rsid w:val="00254E3C"/>
    <w:rsid w:val="00263ED2"/>
    <w:rsid w:val="002673AE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2A09"/>
    <w:rsid w:val="003045C2"/>
    <w:rsid w:val="00312694"/>
    <w:rsid w:val="00312858"/>
    <w:rsid w:val="00317ACC"/>
    <w:rsid w:val="003238F2"/>
    <w:rsid w:val="00327427"/>
    <w:rsid w:val="00337874"/>
    <w:rsid w:val="00345716"/>
    <w:rsid w:val="003473D5"/>
    <w:rsid w:val="00347711"/>
    <w:rsid w:val="003577DC"/>
    <w:rsid w:val="003611CC"/>
    <w:rsid w:val="00364D3C"/>
    <w:rsid w:val="00373A1B"/>
    <w:rsid w:val="003740C1"/>
    <w:rsid w:val="00374D4C"/>
    <w:rsid w:val="00375237"/>
    <w:rsid w:val="00380AF5"/>
    <w:rsid w:val="0038113A"/>
    <w:rsid w:val="0038474F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15D07"/>
    <w:rsid w:val="00433690"/>
    <w:rsid w:val="004428E4"/>
    <w:rsid w:val="0044315F"/>
    <w:rsid w:val="00444BEA"/>
    <w:rsid w:val="0046190F"/>
    <w:rsid w:val="00461DA7"/>
    <w:rsid w:val="00466EA5"/>
    <w:rsid w:val="00470D51"/>
    <w:rsid w:val="00471B0E"/>
    <w:rsid w:val="00474CA1"/>
    <w:rsid w:val="00497276"/>
    <w:rsid w:val="004B3FC6"/>
    <w:rsid w:val="004B5517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44003"/>
    <w:rsid w:val="005523A1"/>
    <w:rsid w:val="005551DA"/>
    <w:rsid w:val="00557BF2"/>
    <w:rsid w:val="00561247"/>
    <w:rsid w:val="005660F2"/>
    <w:rsid w:val="00583721"/>
    <w:rsid w:val="00586056"/>
    <w:rsid w:val="005A052A"/>
    <w:rsid w:val="005A34A7"/>
    <w:rsid w:val="005A3552"/>
    <w:rsid w:val="005A545F"/>
    <w:rsid w:val="005B2A59"/>
    <w:rsid w:val="005B4574"/>
    <w:rsid w:val="005B5624"/>
    <w:rsid w:val="005B74BC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278D"/>
    <w:rsid w:val="00645B29"/>
    <w:rsid w:val="006466DA"/>
    <w:rsid w:val="00666605"/>
    <w:rsid w:val="00676AAF"/>
    <w:rsid w:val="006833FD"/>
    <w:rsid w:val="006858CB"/>
    <w:rsid w:val="00690EBB"/>
    <w:rsid w:val="00692661"/>
    <w:rsid w:val="006936F1"/>
    <w:rsid w:val="006A0335"/>
    <w:rsid w:val="006A62CA"/>
    <w:rsid w:val="006A64AC"/>
    <w:rsid w:val="006A6680"/>
    <w:rsid w:val="006B203B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04324"/>
    <w:rsid w:val="007278E1"/>
    <w:rsid w:val="007369AB"/>
    <w:rsid w:val="00737B7E"/>
    <w:rsid w:val="00745FE0"/>
    <w:rsid w:val="00750538"/>
    <w:rsid w:val="00756047"/>
    <w:rsid w:val="00762324"/>
    <w:rsid w:val="00775842"/>
    <w:rsid w:val="00791600"/>
    <w:rsid w:val="007A16C9"/>
    <w:rsid w:val="007A1FD3"/>
    <w:rsid w:val="007A225F"/>
    <w:rsid w:val="007A77FE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149A0"/>
    <w:rsid w:val="00821E69"/>
    <w:rsid w:val="008415E8"/>
    <w:rsid w:val="00851876"/>
    <w:rsid w:val="00856811"/>
    <w:rsid w:val="00857F32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26E36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4D6E"/>
    <w:rsid w:val="009E3CD9"/>
    <w:rsid w:val="009E5445"/>
    <w:rsid w:val="009E7DDA"/>
    <w:rsid w:val="009F2CAD"/>
    <w:rsid w:val="00A01D2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3462"/>
    <w:rsid w:val="00A64458"/>
    <w:rsid w:val="00A71289"/>
    <w:rsid w:val="00A92BFB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375B"/>
    <w:rsid w:val="00AE53F9"/>
    <w:rsid w:val="00AF4C45"/>
    <w:rsid w:val="00B007F6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459BE"/>
    <w:rsid w:val="00B47B79"/>
    <w:rsid w:val="00B50A5B"/>
    <w:rsid w:val="00B530CF"/>
    <w:rsid w:val="00B553E9"/>
    <w:rsid w:val="00B66F55"/>
    <w:rsid w:val="00B70C29"/>
    <w:rsid w:val="00B74540"/>
    <w:rsid w:val="00B85C12"/>
    <w:rsid w:val="00B92C5C"/>
    <w:rsid w:val="00B95903"/>
    <w:rsid w:val="00B95CDD"/>
    <w:rsid w:val="00B968DA"/>
    <w:rsid w:val="00BB08BB"/>
    <w:rsid w:val="00BB4BE7"/>
    <w:rsid w:val="00BB6A58"/>
    <w:rsid w:val="00BC521F"/>
    <w:rsid w:val="00BC665D"/>
    <w:rsid w:val="00BC72B0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180C"/>
    <w:rsid w:val="00C729CF"/>
    <w:rsid w:val="00C74E17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6201"/>
    <w:rsid w:val="00D77458"/>
    <w:rsid w:val="00D81AB8"/>
    <w:rsid w:val="00D842F3"/>
    <w:rsid w:val="00D84A68"/>
    <w:rsid w:val="00D90B58"/>
    <w:rsid w:val="00D95BB6"/>
    <w:rsid w:val="00DA1ACC"/>
    <w:rsid w:val="00DA4E2F"/>
    <w:rsid w:val="00DB04F4"/>
    <w:rsid w:val="00DB7792"/>
    <w:rsid w:val="00DC36D7"/>
    <w:rsid w:val="00DC5558"/>
    <w:rsid w:val="00DC66D8"/>
    <w:rsid w:val="00DD2F89"/>
    <w:rsid w:val="00DE0232"/>
    <w:rsid w:val="00DE0BCD"/>
    <w:rsid w:val="00DE110F"/>
    <w:rsid w:val="00DE6E46"/>
    <w:rsid w:val="00DE75BE"/>
    <w:rsid w:val="00DF0D64"/>
    <w:rsid w:val="00DF3925"/>
    <w:rsid w:val="00DF5E90"/>
    <w:rsid w:val="00DF62EB"/>
    <w:rsid w:val="00E04127"/>
    <w:rsid w:val="00E05201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64DCF"/>
    <w:rsid w:val="00E7085B"/>
    <w:rsid w:val="00E723F3"/>
    <w:rsid w:val="00E84D92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42B3"/>
    <w:rsid w:val="00F848A8"/>
    <w:rsid w:val="00F85AC1"/>
    <w:rsid w:val="00F87338"/>
    <w:rsid w:val="00F933E8"/>
    <w:rsid w:val="00F97BA1"/>
    <w:rsid w:val="00FB3502"/>
    <w:rsid w:val="00FB4EC3"/>
    <w:rsid w:val="00FC3A8E"/>
    <w:rsid w:val="00FD38BF"/>
    <w:rsid w:val="00FD7BC2"/>
    <w:rsid w:val="00FF1EB8"/>
    <w:rsid w:val="00FF21CC"/>
    <w:rsid w:val="00FF6C3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FontStyle39">
    <w:name w:val="Font Style39"/>
    <w:rsid w:val="00FD38B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16B0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216B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3274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327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FontStyle39">
    <w:name w:val="Font Style39"/>
    <w:rsid w:val="00FD38B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16B0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216B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3274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327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8F43-D088-4E9A-A50C-AE8FFB66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12358</Words>
  <Characters>70444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21.02.2018 N 76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 Настоящее постановление  вступает в силу после его  официального опу</vt:lpstr>
      <vt:lpstr>        Глава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/>
      <vt:lpstr/>
      <vt:lpstr/>
      <vt:lpstr/>
      <vt:lpstr/>
      <vt:lpstr>УТВЕРЖДЕН</vt:lpstr>
      <vt:lpstr>пост</vt:lpstr>
      <vt:lpstr>муниципал</vt:lpstr>
      <vt:lpstr>Руднянский район</vt:lpstr>
      <vt:lpstr>Смоленской области</vt:lpstr>
      <vt:lpstr>от «</vt:lpstr>
      <vt:lpstr/>
      <vt:lpstr/>
      <vt:lpstr>АДМИНИСТРАТИВНЫЙ РЕГЛАМЕНТ</vt:lpstr>
      <vt:lpstr>    предоставления муниципальной услуги «Предоставление гражданам, имеющим трех и бо</vt:lpstr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</vt:lpstr>
      <vt:lpstr>        Круг заявителей</vt:lpstr>
      <vt:lpstr>        </vt:lpstr>
      <vt:lpstr>        </vt:lpstr>
      <vt:lpstr>Электронный адрес Администрации: rud_adm@admin-smolensk.ru. </vt:lpstr>
      <vt:lpstr>    2. Стандарт предоставления муниципальной услуги</vt:lpstr>
      <vt:lpstr>        2.1. Наименование муниципальной услуги</vt:lpstr>
      <vt:lpstr>        2.2. Наименование органа местного самоуправления,</vt:lpstr>
      <vt:lpstr>        2.3. Описание результата предоставления</vt:lpstr>
      <vt:lpstr>        2.3.5. При очной форме получения результата предоставления муниципальной </vt:lpstr>
      <vt:lpstr>        2.4. Срок предоставления муниципальной услуги с учетом</vt:lpstr>
      <vt:lpstr>        </vt:lpstr>
      <vt:lpstr>        2.5. Перечень нормативных правовых актов, регулирующих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    2.16. Иные требования, в том числе учитывающие особенности</vt:lpstr>
      <vt:lpstr>    3. Состав, последовательность и сроки выполнения</vt:lpstr>
      <vt:lpstr>        3.1. Прием и регистрация заявления и документов,</vt:lpstr>
      <vt:lpstr>        3.2. Экспертиза документов, представленных заявителем</vt:lpstr>
      <vt:lpstr>        3.3. Формирование и направление межведомственных запросов</vt:lpstr>
      <vt:lpstr>        3.4. Принятие решения о постановке гражданина на учет </vt:lpstr>
      <vt:lpstr>        (об отказе в постановке гражданина на учет) и включение гражданина в список граж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</vt:lpstr>
      <vt:lpstr>    5. Досудебный (внесудебный) порядок обжалования решений и действий (бездействия)</vt:lpstr>
      <vt:lpstr>        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органа, п</vt:lpstr>
      <vt:lpstr>    5.3.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5.4. Заявитель вправе подать жалобу в письменной форме на бумажном носителе, в э</vt:lpstr>
      <vt:lpstr>    5.6. Жалоба должна содержать:</vt:lpstr>
      <vt:lpstr>    1) наименование органа, предоставляющего муниципальную услугу, Ф.И.О. должностно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орган, предоставляющий муниципальную услугу, подлежит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5.8.1. В случае установления в ходе или по результатам рассмотрения жалобы призн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1</cp:revision>
  <cp:lastPrinted>2018-02-19T12:09:00Z</cp:lastPrinted>
  <dcterms:created xsi:type="dcterms:W3CDTF">2018-02-26T06:07:00Z</dcterms:created>
  <dcterms:modified xsi:type="dcterms:W3CDTF">2018-02-26T06:12:00Z</dcterms:modified>
</cp:coreProperties>
</file>