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 w:rsidP="00584C11">
      <w:pPr>
        <w:rPr>
          <w:b/>
          <w:bCs/>
          <w:szCs w:val="24"/>
        </w:rPr>
      </w:pPr>
    </w:p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014D1" wp14:editId="406B5B2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F42668" w:rsidRPr="007B5EB5" w:rsidRDefault="00F42668" w:rsidP="00F42668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>
        <w:rPr>
          <w:sz w:val="28"/>
          <w:szCs w:val="28"/>
        </w:rPr>
        <w:t>05.09.2016 № 319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>
      <w:bookmarkStart w:id="0" w:name="_GoBack"/>
      <w:bookmarkEnd w:id="0"/>
    </w:p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Pr="00CF571D" w:rsidRDefault="001624DA" w:rsidP="001624DA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Программу </w:t>
      </w:r>
      <w:r w:rsidR="00CF571D" w:rsidRPr="00CF571D">
        <w:rPr>
          <w:b w:val="0"/>
          <w:sz w:val="28"/>
          <w:szCs w:val="28"/>
        </w:rPr>
        <w:t>«Создание условий для обеспечения безопасности жизнедеятельности  населения муниципального образования Руднянского городского поселения Руднянского района Смоленской области на 2016 год»</w:t>
      </w:r>
    </w:p>
    <w:p w:rsidR="001624DA" w:rsidRDefault="001624DA" w:rsidP="001624DA">
      <w:pPr>
        <w:pStyle w:val="ConsPlusNormal"/>
        <w:widowControl/>
        <w:ind w:right="5705" w:firstLine="0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F">
        <w:rPr>
          <w:rFonts w:ascii="Times New Roman" w:hAnsi="Times New Roman"/>
          <w:sz w:val="28"/>
          <w:szCs w:val="28"/>
        </w:rPr>
        <w:t xml:space="preserve">Об общих принципах организации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Руднянского городского поселения Руднянского района Смоленской области </w:t>
      </w:r>
      <w:r w:rsidRPr="004E4B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18.01.2013 г. № 197 «О возложении исполнения полномочий Администрации Руднянского городского поселения Руднянского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муниципального образования Руднянский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области»</w:t>
      </w:r>
    </w:p>
    <w:p w:rsidR="001624DA" w:rsidRPr="004E4BDB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FF21B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21D2">
        <w:rPr>
          <w:sz w:val="28"/>
          <w:szCs w:val="28"/>
        </w:rPr>
        <w:t xml:space="preserve"> </w:t>
      </w:r>
      <w:proofErr w:type="gramStart"/>
      <w:r w:rsidRPr="002701C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0472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CF571D">
        <w:rPr>
          <w:sz w:val="28"/>
          <w:szCs w:val="28"/>
        </w:rPr>
        <w:t xml:space="preserve">«Создание условий для обеспечения безопасности жизнедеятельности  населения </w:t>
      </w:r>
      <w:r w:rsidR="00CF571D" w:rsidRPr="00446055">
        <w:rPr>
          <w:sz w:val="28"/>
          <w:szCs w:val="28"/>
        </w:rPr>
        <w:t>муниципального</w:t>
      </w:r>
      <w:r w:rsidR="00CF571D">
        <w:rPr>
          <w:sz w:val="28"/>
          <w:szCs w:val="28"/>
        </w:rPr>
        <w:t xml:space="preserve"> </w:t>
      </w:r>
      <w:r w:rsidR="00CF571D" w:rsidRPr="00446055">
        <w:rPr>
          <w:sz w:val="28"/>
          <w:szCs w:val="28"/>
        </w:rPr>
        <w:t xml:space="preserve">образования </w:t>
      </w:r>
      <w:r w:rsidR="00CF571D">
        <w:rPr>
          <w:sz w:val="28"/>
          <w:szCs w:val="28"/>
        </w:rPr>
        <w:t>Руднянского городского поселения Руднянского района Смоленской области на 2016 год»</w:t>
      </w:r>
      <w:r>
        <w:rPr>
          <w:sz w:val="28"/>
          <w:szCs w:val="28"/>
        </w:rPr>
        <w:t xml:space="preserve">, утвержденную постановлением  </w:t>
      </w:r>
      <w:r w:rsidRPr="00A217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>муниципального образования Руднянский район</w:t>
      </w:r>
      <w:r w:rsidR="00744AE0">
        <w:rPr>
          <w:sz w:val="28"/>
          <w:szCs w:val="28"/>
        </w:rPr>
        <w:t xml:space="preserve"> Смоленской области от 0</w:t>
      </w:r>
      <w:r w:rsidR="00243768">
        <w:rPr>
          <w:sz w:val="28"/>
          <w:szCs w:val="28"/>
        </w:rPr>
        <w:t>4.02</w:t>
      </w:r>
      <w:r w:rsidRPr="00A217AC">
        <w:rPr>
          <w:sz w:val="28"/>
          <w:szCs w:val="28"/>
        </w:rPr>
        <w:t>.201</w:t>
      </w:r>
      <w:r w:rsidR="00243768">
        <w:rPr>
          <w:sz w:val="28"/>
          <w:szCs w:val="28"/>
        </w:rPr>
        <w:t>6 г. №41 «</w:t>
      </w:r>
      <w:r w:rsidRPr="00A217AC">
        <w:rPr>
          <w:bCs/>
          <w:color w:val="000000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  <w:r w:rsidR="00CF571D">
        <w:rPr>
          <w:sz w:val="28"/>
          <w:szCs w:val="28"/>
        </w:rPr>
        <w:t xml:space="preserve">«Создание условий для обеспечения безопасности жизнедеятельности  населения </w:t>
      </w:r>
      <w:r w:rsidR="00CF571D" w:rsidRPr="00446055">
        <w:rPr>
          <w:sz w:val="28"/>
          <w:szCs w:val="28"/>
        </w:rPr>
        <w:t>муниципального</w:t>
      </w:r>
      <w:r w:rsidR="00CF571D">
        <w:rPr>
          <w:sz w:val="28"/>
          <w:szCs w:val="28"/>
        </w:rPr>
        <w:t xml:space="preserve"> </w:t>
      </w:r>
      <w:r w:rsidR="00CF571D" w:rsidRPr="00446055">
        <w:rPr>
          <w:sz w:val="28"/>
          <w:szCs w:val="28"/>
        </w:rPr>
        <w:t xml:space="preserve">образования </w:t>
      </w:r>
      <w:r w:rsidR="00CF571D">
        <w:rPr>
          <w:sz w:val="28"/>
          <w:szCs w:val="28"/>
        </w:rPr>
        <w:t xml:space="preserve">Руднянского городского поселения Руднянского района Смоленской области на 2016 год» </w:t>
      </w:r>
      <w:r>
        <w:rPr>
          <w:sz w:val="28"/>
          <w:szCs w:val="28"/>
        </w:rPr>
        <w:t>следующие изменения:</w:t>
      </w:r>
      <w:proofErr w:type="gramEnd"/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позицию:</w:t>
      </w:r>
      <w:r w:rsidRPr="002701C3">
        <w:rPr>
          <w:sz w:val="28"/>
          <w:szCs w:val="28"/>
        </w:rPr>
        <w:t xml:space="preserve">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CF571D">
              <w:rPr>
                <w:rFonts w:ascii="Times New Roman" w:hAnsi="Times New Roman" w:cs="Times New Roman"/>
                <w:b/>
                <w:sz w:val="24"/>
                <w:szCs w:val="24"/>
              </w:rPr>
              <w:t>4399,9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программы </w:t>
            </w:r>
            <w:r w:rsidR="00243768" w:rsidRPr="00C96711">
              <w:rPr>
                <w:rFonts w:ascii="Times New Roman" w:hAnsi="Times New Roman" w:cs="Times New Roman"/>
                <w:sz w:val="24"/>
                <w:szCs w:val="24"/>
              </w:rPr>
              <w:t>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957D1E"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01C3">
        <w:rPr>
          <w:sz w:val="28"/>
          <w:szCs w:val="28"/>
        </w:rPr>
        <w:t xml:space="preserve">. </w:t>
      </w:r>
      <w:r w:rsidR="00EA7168">
        <w:rPr>
          <w:sz w:val="28"/>
          <w:szCs w:val="28"/>
        </w:rPr>
        <w:t>Раздел</w:t>
      </w:r>
      <w:r w:rsidR="00596025">
        <w:rPr>
          <w:sz w:val="28"/>
          <w:szCs w:val="28"/>
        </w:rPr>
        <w:t xml:space="preserve"> </w:t>
      </w:r>
      <w:r w:rsidR="00596025">
        <w:rPr>
          <w:sz w:val="28"/>
          <w:szCs w:val="28"/>
          <w:lang w:val="en-US"/>
        </w:rPr>
        <w:t>IV</w:t>
      </w:r>
      <w:r w:rsidRPr="001A583F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изложить в следующей редакции:</w:t>
      </w:r>
    </w:p>
    <w:p w:rsidR="001624DA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797B4B" w:rsidRDefault="001624DA" w:rsidP="0059602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6025">
        <w:rPr>
          <w:b/>
          <w:sz w:val="28"/>
          <w:szCs w:val="28"/>
          <w:lang w:val="en-US"/>
        </w:rPr>
        <w:t>IV</w:t>
      </w:r>
      <w:r w:rsidR="00596025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596025" w:rsidRPr="00797B4B" w:rsidRDefault="00596025" w:rsidP="00596025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 w:rsidRPr="00797B4B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="00957D1E">
        <w:rPr>
          <w:sz w:val="28"/>
          <w:szCs w:val="28"/>
        </w:rPr>
        <w:t>5449,9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596025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596025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</w:t>
      </w:r>
      <w:proofErr w:type="gramStart"/>
      <w:r w:rsidRPr="00596025">
        <w:rPr>
          <w:sz w:val="28"/>
          <w:szCs w:val="28"/>
        </w:rPr>
        <w:t>.</w:t>
      </w:r>
      <w:r w:rsidR="001624DA" w:rsidRPr="00596025">
        <w:rPr>
          <w:sz w:val="28"/>
          <w:szCs w:val="28"/>
        </w:rPr>
        <w:t>».</w:t>
      </w:r>
      <w:proofErr w:type="gramEnd"/>
    </w:p>
    <w:p w:rsidR="001624DA" w:rsidRDefault="001624DA" w:rsidP="001624DA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A4369">
        <w:rPr>
          <w:sz w:val="28"/>
          <w:szCs w:val="28"/>
        </w:rPr>
        <w:t>1.3. Приложение №</w:t>
      </w:r>
      <w:r>
        <w:rPr>
          <w:sz w:val="28"/>
          <w:szCs w:val="28"/>
        </w:rPr>
        <w:t xml:space="preserve"> </w:t>
      </w:r>
      <w:r w:rsidRPr="00FA4369">
        <w:rPr>
          <w:sz w:val="28"/>
          <w:szCs w:val="28"/>
        </w:rPr>
        <w:t xml:space="preserve">2 </w:t>
      </w:r>
      <w:r w:rsidRPr="00AA6CD6">
        <w:rPr>
          <w:bCs/>
          <w:sz w:val="28"/>
          <w:szCs w:val="28"/>
        </w:rPr>
        <w:t xml:space="preserve">План реализации муниципальной программы  </w:t>
      </w:r>
      <w:r w:rsidR="00CF571D">
        <w:rPr>
          <w:sz w:val="28"/>
          <w:szCs w:val="28"/>
        </w:rPr>
        <w:t xml:space="preserve">«Создание условий для обеспечения безопасности жизнедеятельности  населения </w:t>
      </w:r>
      <w:r w:rsidR="00CF571D" w:rsidRPr="00446055">
        <w:rPr>
          <w:sz w:val="28"/>
          <w:szCs w:val="28"/>
        </w:rPr>
        <w:t>муниципального</w:t>
      </w:r>
      <w:r w:rsidR="00CF571D">
        <w:rPr>
          <w:sz w:val="28"/>
          <w:szCs w:val="28"/>
        </w:rPr>
        <w:t xml:space="preserve"> </w:t>
      </w:r>
      <w:r w:rsidR="00CF571D" w:rsidRPr="00446055">
        <w:rPr>
          <w:sz w:val="28"/>
          <w:szCs w:val="28"/>
        </w:rPr>
        <w:t xml:space="preserve">образования </w:t>
      </w:r>
      <w:r w:rsidR="00CF571D">
        <w:rPr>
          <w:sz w:val="28"/>
          <w:szCs w:val="28"/>
        </w:rPr>
        <w:t xml:space="preserve">Руднянского городского поселения Руднянского района Смоленской области на 2016 год» </w:t>
      </w:r>
      <w:r w:rsidRPr="00AA6CD6">
        <w:rPr>
          <w:sz w:val="28"/>
          <w:szCs w:val="28"/>
        </w:rPr>
        <w:t>изложить</w:t>
      </w:r>
      <w:r w:rsidRPr="002701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 согласно Приложению.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C474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FB7CE7" w:rsidRPr="001A3CB5" w:rsidRDefault="00FB7CE7" w:rsidP="00FB7CE7">
      <w:pPr>
        <w:autoSpaceDN w:val="0"/>
        <w:adjustRightInd w:val="0"/>
        <w:jc w:val="center"/>
        <w:rPr>
          <w:b/>
          <w:u w:val="single"/>
        </w:rPr>
      </w:pPr>
      <w:r w:rsidRPr="001A3CB5">
        <w:rPr>
          <w:b/>
          <w:bCs/>
          <w:u w:val="single"/>
        </w:rPr>
        <w:t xml:space="preserve">План реализации муниципальной программы  </w:t>
      </w:r>
      <w:r w:rsidRPr="001A3CB5">
        <w:rPr>
          <w:b/>
          <w:u w:val="single"/>
        </w:rPr>
        <w:t xml:space="preserve">«Создание условий для обеспечения безопасности жизнедеятельности населения   </w:t>
      </w:r>
    </w:p>
    <w:p w:rsidR="00FB7CE7" w:rsidRPr="001A3CB5" w:rsidRDefault="00FB7CE7" w:rsidP="00FB7CE7">
      <w:pPr>
        <w:shd w:val="clear" w:color="auto" w:fill="FFFFFF"/>
        <w:spacing w:line="264" w:lineRule="auto"/>
        <w:jc w:val="center"/>
        <w:rPr>
          <w:b/>
          <w:color w:val="000000"/>
          <w:u w:val="single"/>
        </w:rPr>
      </w:pPr>
      <w:r w:rsidRPr="001A3CB5">
        <w:rPr>
          <w:b/>
          <w:u w:val="single"/>
        </w:rPr>
        <w:t>муниципального образования Руднянского городского поселения Руднянского района Смоленской области на 2016 год</w:t>
      </w:r>
    </w:p>
    <w:p w:rsidR="00FB7CE7" w:rsidRDefault="00FB7CE7" w:rsidP="00FB7CE7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4168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3679"/>
        <w:gridCol w:w="3491"/>
        <w:gridCol w:w="3119"/>
        <w:gridCol w:w="3879"/>
      </w:tblGrid>
      <w:tr w:rsidR="00FB7CE7" w:rsidRPr="001A3CB5" w:rsidTr="00797250">
        <w:trPr>
          <w:trHeight w:val="21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jc w:val="center"/>
            </w:pPr>
            <w:r w:rsidRPr="001A3CB5">
              <w:t>Наименование мероприятия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B7CE7" w:rsidRPr="001A3CB5" w:rsidRDefault="00FB7CE7" w:rsidP="00797250">
            <w:pPr>
              <w:snapToGrid w:val="0"/>
              <w:jc w:val="center"/>
            </w:pPr>
            <w:r w:rsidRPr="001A3CB5">
              <w:t xml:space="preserve">мероприятия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jc w:val="center"/>
            </w:pPr>
            <w:r w:rsidRPr="001A3CB5">
              <w:t>Источник финансирования, руб.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CE7" w:rsidRPr="001A3CB5" w:rsidRDefault="00FB7CE7" w:rsidP="00797250">
            <w:pPr>
              <w:snapToGrid w:val="0"/>
              <w:jc w:val="center"/>
            </w:pPr>
            <w:r w:rsidRPr="001A3CB5">
              <w:t xml:space="preserve">Объем финансирования,  </w:t>
            </w:r>
            <w:proofErr w:type="spellStart"/>
            <w:r w:rsidRPr="001A3CB5">
              <w:t>тыс</w:t>
            </w:r>
            <w:proofErr w:type="gramStart"/>
            <w:r w:rsidRPr="001A3CB5">
              <w:t>.р</w:t>
            </w:r>
            <w:proofErr w:type="gramEnd"/>
            <w:r w:rsidRPr="001A3CB5">
              <w:t>уб</w:t>
            </w:r>
            <w:proofErr w:type="spellEnd"/>
            <w:r w:rsidRPr="001A3CB5">
              <w:t>.</w:t>
            </w:r>
          </w:p>
        </w:tc>
      </w:tr>
      <w:tr w:rsidR="00FB7CE7" w:rsidRPr="001A3CB5" w:rsidTr="00797250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autoSpaceDN w:val="0"/>
              <w:adjustRightInd w:val="0"/>
            </w:pPr>
            <w:r w:rsidRPr="001A3CB5">
              <w:t>- Реализация мероприятий по пожарной безопасности: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b/>
                <w:i/>
              </w:rPr>
            </w:pPr>
            <w:r w:rsidRPr="001A3CB5">
              <w:rPr>
                <w:i/>
              </w:rPr>
              <w:t xml:space="preserve">Приобретение, установка и ремонт пожарных гидрантов; </w:t>
            </w:r>
            <w:proofErr w:type="spellStart"/>
            <w:r w:rsidRPr="001A3CB5">
              <w:rPr>
                <w:i/>
              </w:rPr>
              <w:t>обкос</w:t>
            </w:r>
            <w:proofErr w:type="spellEnd"/>
            <w:r w:rsidRPr="001A3CB5">
              <w:rPr>
                <w:i/>
              </w:rPr>
              <w:t xml:space="preserve"> травы; снос аварийных деревьев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 w:rsidRPr="001A3CB5">
              <w:t>250,0</w:t>
            </w:r>
          </w:p>
        </w:tc>
      </w:tr>
      <w:tr w:rsidR="00FB7CE7" w:rsidRPr="001A3CB5" w:rsidTr="00797250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autoSpaceDN w:val="0"/>
              <w:adjustRightInd w:val="0"/>
            </w:pPr>
            <w:r w:rsidRPr="001A3CB5">
              <w:t>- Реализация мероприятий по безопасности дорожного движения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CE7" w:rsidRPr="001A3CB5" w:rsidRDefault="00957D1E" w:rsidP="00797250">
            <w:pPr>
              <w:snapToGrid w:val="0"/>
              <w:spacing w:line="264" w:lineRule="auto"/>
              <w:jc w:val="center"/>
            </w:pPr>
            <w:r>
              <w:t>5199,9</w:t>
            </w:r>
          </w:p>
        </w:tc>
      </w:tr>
      <w:tr w:rsidR="00FB7CE7" w:rsidRPr="001A3CB5" w:rsidTr="00CF571D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autoSpaceDN w:val="0"/>
              <w:adjustRightInd w:val="0"/>
            </w:pPr>
            <w:r w:rsidRPr="001A3CB5">
              <w:t>В том числе: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t xml:space="preserve">- </w:t>
            </w:r>
            <w:r w:rsidRPr="001A3CB5">
              <w:rPr>
                <w:i/>
              </w:rPr>
              <w:t>выполнение горизонтальной дорожной разметки;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>- выполнение разметки пешеходных переходов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>- разработка схемы организации дорожного движения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 xml:space="preserve">- выполнение </w:t>
            </w:r>
            <w:proofErr w:type="spellStart"/>
            <w:r w:rsidRPr="001A3CB5">
              <w:rPr>
                <w:i/>
              </w:rPr>
              <w:t>грейдерования</w:t>
            </w:r>
            <w:proofErr w:type="spellEnd"/>
            <w:r w:rsidRPr="001A3CB5">
              <w:rPr>
                <w:i/>
              </w:rPr>
              <w:t xml:space="preserve"> и ремонтных дорог с грунтовым покрытием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>- устройство ограждение перед общеобразовательным учреждением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>- исполнение судебных решений по ремонту дорог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800,0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400,0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350,0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1000,0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500,0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957D1E" w:rsidP="00797250">
            <w:pPr>
              <w:snapToGrid w:val="0"/>
              <w:spacing w:line="264" w:lineRule="auto"/>
              <w:jc w:val="center"/>
            </w:pPr>
            <w:r>
              <w:t>2649,9</w:t>
            </w:r>
          </w:p>
        </w:tc>
      </w:tr>
      <w:tr w:rsidR="00CF571D" w:rsidRPr="001A3CB5" w:rsidTr="00797250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71D" w:rsidRPr="001A3CB5" w:rsidRDefault="00CF571D" w:rsidP="00797250">
            <w:pPr>
              <w:autoSpaceDN w:val="0"/>
              <w:adjustRightInd w:val="0"/>
            </w:pPr>
            <w:r>
              <w:t>ИТОГО по Программе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71D" w:rsidRPr="001A3CB5" w:rsidRDefault="00CF571D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71D" w:rsidRPr="001A3CB5" w:rsidRDefault="00CF571D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571D" w:rsidRPr="001A3CB5" w:rsidRDefault="00957D1E" w:rsidP="00896852">
            <w:pPr>
              <w:snapToGrid w:val="0"/>
              <w:spacing w:line="264" w:lineRule="auto"/>
              <w:jc w:val="center"/>
            </w:pPr>
            <w:r>
              <w:t>5449,9</w:t>
            </w:r>
          </w:p>
        </w:tc>
      </w:tr>
    </w:tbl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61B82"/>
    <w:rsid w:val="000774A7"/>
    <w:rsid w:val="001624DA"/>
    <w:rsid w:val="00226763"/>
    <w:rsid w:val="00243768"/>
    <w:rsid w:val="002544A9"/>
    <w:rsid w:val="002629C2"/>
    <w:rsid w:val="002B3108"/>
    <w:rsid w:val="0030659E"/>
    <w:rsid w:val="003E3B9A"/>
    <w:rsid w:val="004E4BDB"/>
    <w:rsid w:val="00584C11"/>
    <w:rsid w:val="00596025"/>
    <w:rsid w:val="00664709"/>
    <w:rsid w:val="00744AE0"/>
    <w:rsid w:val="007D30C4"/>
    <w:rsid w:val="008174BA"/>
    <w:rsid w:val="00826EAF"/>
    <w:rsid w:val="00896852"/>
    <w:rsid w:val="00957D1E"/>
    <w:rsid w:val="00AF45B5"/>
    <w:rsid w:val="00B02C3B"/>
    <w:rsid w:val="00B1000D"/>
    <w:rsid w:val="00B23E76"/>
    <w:rsid w:val="00B72D99"/>
    <w:rsid w:val="00C70E2B"/>
    <w:rsid w:val="00CF17B6"/>
    <w:rsid w:val="00CF571D"/>
    <w:rsid w:val="00DF2843"/>
    <w:rsid w:val="00EA7168"/>
    <w:rsid w:val="00EC6367"/>
    <w:rsid w:val="00ED25BD"/>
    <w:rsid w:val="00F42668"/>
    <w:rsid w:val="00F56EFD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HOLOMEVA</dc:creator>
  <cp:lastModifiedBy>Pogodin</cp:lastModifiedBy>
  <cp:revision>6</cp:revision>
  <cp:lastPrinted>2016-07-25T10:42:00Z</cp:lastPrinted>
  <dcterms:created xsi:type="dcterms:W3CDTF">2016-07-25T10:18:00Z</dcterms:created>
  <dcterms:modified xsi:type="dcterms:W3CDTF">2016-09-27T08:03:00Z</dcterms:modified>
</cp:coreProperties>
</file>