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414293">
        <w:rPr>
          <w:b w:val="0"/>
        </w:rPr>
        <w:t>30.01.2017</w:t>
      </w:r>
      <w:r w:rsidR="00C6260D">
        <w:rPr>
          <w:b w:val="0"/>
        </w:rPr>
        <w:t xml:space="preserve">  № </w:t>
      </w:r>
      <w:r w:rsidR="00414293">
        <w:rPr>
          <w:b w:val="0"/>
          <w:u w:val="single"/>
        </w:rPr>
        <w:t>0030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Pr="00AB5F81">
              <w:rPr>
                <w:sz w:val="28"/>
                <w:szCs w:val="28"/>
              </w:rPr>
              <w:t>и реконструкцию объекта капитального строительствана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Default="00473DAD" w:rsidP="00101F76">
      <w:pPr>
        <w:pStyle w:val="aa"/>
        <w:spacing w:line="240" w:lineRule="auto"/>
        <w:jc w:val="both"/>
        <w:rPr>
          <w:rFonts w:eastAsia="Arial Unicode MS"/>
          <w:b w:val="0"/>
          <w:color w:val="000000"/>
          <w:szCs w:val="28"/>
          <w:lang/>
        </w:rPr>
      </w:pPr>
    </w:p>
    <w:p w:rsidR="00473DAD" w:rsidRPr="00AB5F81" w:rsidRDefault="00101F76" w:rsidP="00101F76">
      <w:pPr>
        <w:pStyle w:val="aa"/>
        <w:spacing w:line="240" w:lineRule="auto"/>
        <w:jc w:val="both"/>
        <w:rPr>
          <w:b w:val="0"/>
        </w:rPr>
      </w:pPr>
      <w:r>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Pr="00101F76">
        <w:rPr>
          <w:b w:val="0"/>
          <w:szCs w:val="28"/>
        </w:rPr>
        <w:t>Продление срока действия</w:t>
      </w:r>
      <w:r w:rsidR="00E16D92" w:rsidRPr="00AB5F81">
        <w:rPr>
          <w:b w:val="0"/>
          <w:szCs w:val="28"/>
        </w:rPr>
        <w:t xml:space="preserve"> разрешения на строительство</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101F76" w:rsidP="00473DAD">
      <w:pPr>
        <w:pStyle w:val="aa"/>
        <w:spacing w:line="240" w:lineRule="auto"/>
        <w:jc w:val="both"/>
        <w:rPr>
          <w:b w:val="0"/>
        </w:rPr>
      </w:pPr>
      <w:r>
        <w:rPr>
          <w:b w:val="0"/>
        </w:rPr>
        <w:lastRenderedPageBreak/>
        <w:t>2</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101F76" w:rsidP="00473DAD">
      <w:pPr>
        <w:widowControl w:val="0"/>
        <w:autoSpaceDE w:val="0"/>
        <w:autoSpaceDN w:val="0"/>
        <w:adjustRightInd w:val="0"/>
        <w:jc w:val="both"/>
        <w:rPr>
          <w:sz w:val="28"/>
          <w:szCs w:val="28"/>
        </w:rPr>
      </w:pPr>
      <w:r>
        <w:rPr>
          <w:sz w:val="28"/>
          <w:szCs w:val="28"/>
        </w:rPr>
        <w:t>3</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BC6BB7" w:rsidRPr="00AB5F81" w:rsidRDefault="00BC6BB7"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5076B" w:rsidRPr="00AB5F81" w:rsidRDefault="0045076B"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от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w:t>
      </w:r>
      <w:r w:rsidRPr="00C92618">
        <w:rPr>
          <w:sz w:val="28"/>
          <w:szCs w:val="28"/>
        </w:rPr>
        <w:lastRenderedPageBreak/>
        <w:t xml:space="preserve">установленныхбюджетным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w:t>
      </w:r>
      <w:r w:rsidRPr="004C6F7C">
        <w:rPr>
          <w:rFonts w:ascii="Times New Roman" w:hAnsi="Times New Roman" w:cs="Times New Roman"/>
          <w:sz w:val="28"/>
          <w:szCs w:val="28"/>
        </w:rPr>
        <w:lastRenderedPageBreak/>
        <w:t xml:space="preserve">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3"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5B7587" w:rsidP="004C6F7C">
      <w:pPr>
        <w:pStyle w:val="ConsPlusNormal"/>
        <w:ind w:firstLine="709"/>
        <w:jc w:val="both"/>
        <w:rPr>
          <w:rFonts w:ascii="Times New Roman" w:hAnsi="Times New Roman" w:cs="Times New Roman"/>
          <w:sz w:val="28"/>
          <w:szCs w:val="28"/>
        </w:rPr>
      </w:pPr>
      <w:hyperlink r:id="rId14"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r w:rsidRPr="004C6F7C">
        <w:rPr>
          <w:sz w:val="28"/>
          <w:szCs w:val="28"/>
          <w:lang w:val="en-US"/>
        </w:rPr>
        <w:t>pravo</w:t>
      </w:r>
      <w:r w:rsidRPr="004C6F7C">
        <w:rPr>
          <w:sz w:val="28"/>
          <w:szCs w:val="28"/>
        </w:rPr>
        <w:t>.</w:t>
      </w:r>
      <w:r w:rsidRPr="004C6F7C">
        <w:rPr>
          <w:sz w:val="28"/>
          <w:szCs w:val="28"/>
          <w:lang w:val="en-US"/>
        </w:rPr>
        <w:t>gov</w:t>
      </w:r>
      <w:r w:rsidRPr="004C6F7C">
        <w:rPr>
          <w:sz w:val="28"/>
          <w:szCs w:val="28"/>
        </w:rPr>
        <w:t>.</w:t>
      </w:r>
      <w:r w:rsidRPr="004C6F7C">
        <w:rPr>
          <w:sz w:val="28"/>
          <w:szCs w:val="28"/>
          <w:lang w:val="en-US"/>
        </w:rPr>
        <w:t>ru</w:t>
      </w:r>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lastRenderedPageBreak/>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lastRenderedPageBreak/>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lastRenderedPageBreak/>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5B7587"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 xml:space="preserve">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w:t>
      </w:r>
      <w:r w:rsidRPr="0052049F">
        <w:rPr>
          <w:sz w:val="28"/>
          <w:szCs w:val="28"/>
        </w:rPr>
        <w:lastRenderedPageBreak/>
        <w:t>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w:t>
      </w:r>
      <w:r w:rsidRPr="00EB08B7">
        <w:rPr>
          <w:rFonts w:ascii="Times New Roman" w:hAnsi="Times New Roman" w:cs="Times New Roman"/>
          <w:sz w:val="28"/>
          <w:szCs w:val="28"/>
        </w:rPr>
        <w:lastRenderedPageBreak/>
        <w:t xml:space="preserve">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строительствос отметкой о продлении срока его действиялибо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Основанием для начала административной процедурыпо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 xml:space="preserve">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w:t>
      </w:r>
      <w:r w:rsidRPr="005139AC">
        <w:rPr>
          <w:rFonts w:ascii="Times New Roman" w:hAnsi="Times New Roman" w:cs="Times New Roman"/>
          <w:sz w:val="28"/>
          <w:szCs w:val="28"/>
        </w:rPr>
        <w:lastRenderedPageBreak/>
        <w:t>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5"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6"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7"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bookmarkStart w:id="6" w:name="_GoBack"/>
      <w:bookmarkEnd w:id="6"/>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lastRenderedPageBreak/>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AB5F81">
        <w:rPr>
          <w:color w:val="000000"/>
          <w:sz w:val="28"/>
          <w:szCs w:val="28"/>
        </w:rPr>
        <w:lastRenderedPageBreak/>
        <w:t>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AB5F81">
        <w:rPr>
          <w:color w:val="000000"/>
          <w:sz w:val="28"/>
          <w:szCs w:val="28"/>
        </w:rPr>
        <w:lastRenderedPageBreak/>
        <w:t xml:space="preserve">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5B7587"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01F76" w:rsidRPr="00DE7A8E" w:rsidRDefault="00101F76" w:rsidP="00F62D49">
                  <w:pPr>
                    <w:jc w:val="center"/>
                    <w:rPr>
                      <w:rFonts w:ascii="Courier New" w:hAnsi="Courier New" w:cs="Courier New"/>
                      <w:sz w:val="16"/>
                      <w:szCs w:val="16"/>
                    </w:rPr>
                  </w:pPr>
                </w:p>
              </w:txbxContent>
            </v:textbox>
          </v:shape>
        </w:pict>
      </w:r>
    </w:p>
    <w:p w:rsidR="00BD5D5D" w:rsidRDefault="00BD5D5D" w:rsidP="00BD5D5D">
      <w:pPr>
        <w:adjustRightInd w:val="0"/>
        <w:ind w:firstLine="5670"/>
        <w:jc w:val="right"/>
        <w:outlineLvl w:val="1"/>
      </w:pPr>
      <w:r>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tblPr>
      <w:tblGrid>
        <w:gridCol w:w="4820"/>
      </w:tblGrid>
      <w:tr w:rsidR="00BD5D5D" w:rsidTr="00636F5F">
        <w:trPr>
          <w:trHeight w:val="700"/>
        </w:trPr>
        <w:tc>
          <w:tcPr>
            <w:tcW w:w="4820" w:type="dxa"/>
          </w:tcPr>
          <w:p w:rsidR="00BD5D5D" w:rsidRDefault="00BD5D5D" w:rsidP="00636F5F">
            <w:pPr>
              <w:autoSpaceDE w:val="0"/>
              <w:autoSpaceDN w:val="0"/>
              <w:adjustRightInd w:val="0"/>
              <w:ind w:left="-108"/>
            </w:pPr>
            <w:r>
              <w:t>Главе муниципального образования Руднянский район Смоленской области по</w:t>
            </w:r>
          </w:p>
          <w:p w:rsidR="00BD5D5D" w:rsidRDefault="00BD5D5D" w:rsidP="00636F5F">
            <w:pPr>
              <w:autoSpaceDE w:val="0"/>
              <w:autoSpaceDN w:val="0"/>
              <w:adjustRightInd w:val="0"/>
              <w:ind w:left="-108"/>
            </w:pPr>
            <w:r>
              <w:t>_______________________________________</w:t>
            </w:r>
          </w:p>
          <w:p w:rsidR="00BD5D5D" w:rsidRDefault="00BD5D5D" w:rsidP="00636F5F">
            <w:pPr>
              <w:autoSpaceDE w:val="0"/>
              <w:autoSpaceDN w:val="0"/>
              <w:adjustRightInd w:val="0"/>
              <w:ind w:left="-108"/>
            </w:pPr>
          </w:p>
        </w:tc>
      </w:tr>
      <w:tr w:rsidR="00BD5D5D" w:rsidTr="00636F5F">
        <w:tc>
          <w:tcPr>
            <w:tcW w:w="4820" w:type="dxa"/>
          </w:tcPr>
          <w:p w:rsidR="00BD5D5D" w:rsidRDefault="00BD5D5D" w:rsidP="00636F5F">
            <w:pPr>
              <w:autoSpaceDE w:val="0"/>
              <w:autoSpaceDN w:val="0"/>
              <w:adjustRightInd w:val="0"/>
              <w:jc w:val="center"/>
            </w:pPr>
            <w:r>
              <w:rPr>
                <w:sz w:val="16"/>
              </w:rPr>
              <w:t xml:space="preserve">(наименование юридического лица, индивидуального </w:t>
            </w: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636F5F">
            <w:pPr>
              <w:autoSpaceDE w:val="0"/>
              <w:autoSpaceDN w:val="0"/>
              <w:adjustRightInd w:val="0"/>
              <w:jc w:val="center"/>
              <w:rPr>
                <w:sz w:val="16"/>
              </w:rPr>
            </w:pPr>
          </w:p>
        </w:tc>
      </w:tr>
      <w:tr w:rsidR="00BD5D5D" w:rsidTr="00636F5F">
        <w:tc>
          <w:tcPr>
            <w:tcW w:w="4820" w:type="dxa"/>
          </w:tcPr>
          <w:p w:rsidR="00BD5D5D" w:rsidRDefault="00BD5D5D" w:rsidP="00636F5F">
            <w:pPr>
              <w:autoSpaceDE w:val="0"/>
              <w:autoSpaceDN w:val="0"/>
              <w:adjustRightInd w:val="0"/>
              <w:jc w:val="center"/>
              <w:rPr>
                <w:sz w:val="16"/>
              </w:rPr>
            </w:pPr>
            <w:r>
              <w:rPr>
                <w:sz w:val="16"/>
              </w:rPr>
              <w:t>строительство, реконструкцию)</w:t>
            </w:r>
          </w:p>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(ИНН)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(Ф.И.О. руководителя, телефон)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(банковские реквизиты (наименование банка, р/с, к/с, БИК)</w:t>
            </w: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rPr>
          <w:trHeight w:val="551"/>
        </w:trPr>
        <w:tc>
          <w:tcPr>
            <w:tcW w:w="4820" w:type="dxa"/>
          </w:tcPr>
          <w:p w:rsidR="00BD5D5D" w:rsidRPr="005173BB" w:rsidRDefault="00BD5D5D" w:rsidP="00636F5F">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1814"/>
      </w:tblGrid>
      <w:tr w:rsidR="00BD5D5D" w:rsidTr="00636F5F">
        <w:trPr>
          <w:cantSplit/>
        </w:trPr>
        <w:tc>
          <w:tcPr>
            <w:tcW w:w="284" w:type="dxa"/>
            <w:tcBorders>
              <w:top w:val="nil"/>
              <w:left w:val="nil"/>
              <w:bottom w:val="nil"/>
              <w:right w:val="nil"/>
            </w:tcBorders>
            <w:vAlign w:val="bottom"/>
          </w:tcPr>
          <w:p w:rsidR="00BD5D5D" w:rsidRDefault="00BD5D5D" w:rsidP="00636F5F">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636F5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284" w:type="dxa"/>
            <w:tcBorders>
              <w:top w:val="nil"/>
              <w:left w:val="nil"/>
              <w:bottom w:val="nil"/>
              <w:right w:val="nil"/>
            </w:tcBorders>
            <w:vAlign w:val="bottom"/>
          </w:tcPr>
          <w:p w:rsidR="00BD5D5D" w:rsidRDefault="00BD5D5D" w:rsidP="00636F5F">
            <w:pPr>
              <w:rPr>
                <w:sz w:val="22"/>
                <w:szCs w:val="22"/>
              </w:rPr>
            </w:pPr>
            <w:r>
              <w:t>»</w:t>
            </w:r>
          </w:p>
        </w:tc>
        <w:tc>
          <w:tcPr>
            <w:tcW w:w="1956"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397" w:type="dxa"/>
            <w:tcBorders>
              <w:top w:val="nil"/>
              <w:left w:val="nil"/>
              <w:bottom w:val="nil"/>
              <w:right w:val="nil"/>
            </w:tcBorders>
            <w:vAlign w:val="bottom"/>
          </w:tcPr>
          <w:p w:rsidR="00BD5D5D" w:rsidRDefault="00BD5D5D" w:rsidP="00636F5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636F5F">
            <w:pPr>
              <w:rPr>
                <w:sz w:val="22"/>
                <w:szCs w:val="22"/>
              </w:rPr>
            </w:pPr>
          </w:p>
        </w:tc>
        <w:tc>
          <w:tcPr>
            <w:tcW w:w="624" w:type="dxa"/>
            <w:tcBorders>
              <w:top w:val="nil"/>
              <w:left w:val="nil"/>
              <w:bottom w:val="nil"/>
              <w:right w:val="nil"/>
            </w:tcBorders>
            <w:vAlign w:val="bottom"/>
          </w:tcPr>
          <w:p w:rsidR="00BD5D5D" w:rsidRDefault="00BD5D5D" w:rsidP="00636F5F">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636F5F">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lastRenderedPageBreak/>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настроительствообусловлена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_____________________г.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lastRenderedPageBreak/>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w:t>
      </w:r>
      <w:r>
        <w:rPr>
          <w:rFonts w:ascii="Times New Roman" w:hAnsi="Times New Roman" w:cs="Times New Roman"/>
          <w:sz w:val="22"/>
          <w:szCs w:val="22"/>
        </w:rPr>
        <w:t>____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5B7587"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BD5D5D" w:rsidRPr="00F40E8D" w:rsidRDefault="00BD5D5D" w:rsidP="00BD5D5D">
                  <w:pPr>
                    <w:spacing w:line="20" w:lineRule="atLeast"/>
                    <w:jc w:val="center"/>
                    <w:rPr>
                      <w:sz w:val="16"/>
                      <w:szCs w:val="16"/>
                    </w:rPr>
                  </w:pPr>
                  <w:r w:rsidRPr="00F40E8D">
                    <w:rPr>
                      <w:sz w:val="16"/>
                      <w:szCs w:val="16"/>
                    </w:rPr>
                    <w:t>Начало</w:t>
                  </w:r>
                </w:p>
              </w:txbxContent>
            </v:textbox>
          </v:shape>
        </w:pict>
      </w:r>
    </w:p>
    <w:p w:rsidR="00BD5D5D" w:rsidRPr="0003024C" w:rsidRDefault="005B7587"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p>
    <w:p w:rsidR="00BD5D5D" w:rsidRPr="0003024C" w:rsidRDefault="005B7587"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5B7587"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5B7587"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5B7587"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5B7587"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5B7587"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5B7587"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BD5D5D" w:rsidRDefault="00BD5D5D"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BD5D5D" w:rsidRDefault="00BD5D5D" w:rsidP="00BD5D5D">
                  <w:r>
                    <w:t>Да</w:t>
                  </w:r>
                </w:p>
              </w:txbxContent>
            </v:textbox>
          </v:shape>
        </w:pict>
      </w:r>
    </w:p>
    <w:p w:rsidR="00BD5D5D" w:rsidRPr="0003024C" w:rsidRDefault="005B7587"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5B7587"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5B7587"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5B7587"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5B7587"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BD5D5D" w:rsidRDefault="00BD5D5D"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BD5D5D" w:rsidRDefault="00BD5D5D" w:rsidP="00BD5D5D">
                  <w:r>
                    <w:t>Нет</w:t>
                  </w:r>
                </w:p>
              </w:txbxContent>
            </v:textbox>
          </v:shape>
        </w:pict>
      </w:r>
    </w:p>
    <w:p w:rsidR="00BD5D5D" w:rsidRDefault="005B7587"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5B7587"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p>
    <w:p w:rsidR="00BD5D5D" w:rsidRPr="0003024C" w:rsidRDefault="00BD5D5D" w:rsidP="00BD5D5D">
      <w:pPr>
        <w:pStyle w:val="a8"/>
      </w:pPr>
    </w:p>
    <w:p w:rsidR="00BD5D5D" w:rsidRPr="0003024C" w:rsidRDefault="005B7587"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BD5D5D" w:rsidRDefault="00BD5D5D"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5B7587"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BD5D5D" w:rsidRDefault="00BD5D5D" w:rsidP="00BD5D5D">
                  <w:r>
                    <w:t>Да</w:t>
                  </w:r>
                </w:p>
              </w:txbxContent>
            </v:textbox>
          </v:shape>
        </w:pict>
      </w:r>
    </w:p>
    <w:p w:rsidR="00BD5D5D" w:rsidRPr="0003024C" w:rsidRDefault="00BD5D5D" w:rsidP="00BD5D5D">
      <w:pPr>
        <w:pStyle w:val="a8"/>
      </w:pPr>
    </w:p>
    <w:p w:rsidR="00BD5D5D" w:rsidRPr="0003024C" w:rsidRDefault="005B7587"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v:textbox>
          </v:rect>
        </w:pict>
      </w:r>
    </w:p>
    <w:p w:rsidR="00BD5D5D" w:rsidRPr="0003024C" w:rsidRDefault="00BD5D5D" w:rsidP="00BD5D5D">
      <w:pPr>
        <w:pStyle w:val="a8"/>
      </w:pPr>
    </w:p>
    <w:p w:rsidR="00BD5D5D" w:rsidRPr="0003024C" w:rsidRDefault="005B7587"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5B7587"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5B7587" w:rsidP="00BD5D5D">
      <w:pPr>
        <w:pStyle w:val="a8"/>
      </w:pPr>
      <w:r>
        <w:rPr>
          <w:noProof/>
        </w:rPr>
        <w:lastRenderedPageBreak/>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5B7587"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5B7587"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8"/>
      <w:headerReference w:type="default" r:id="rId19"/>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0B" w:rsidRDefault="005A1B0B">
      <w:r>
        <w:separator/>
      </w:r>
    </w:p>
  </w:endnote>
  <w:endnote w:type="continuationSeparator" w:id="1">
    <w:p w:rsidR="005A1B0B" w:rsidRDefault="005A1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0B" w:rsidRDefault="005A1B0B">
      <w:r>
        <w:separator/>
      </w:r>
    </w:p>
  </w:footnote>
  <w:footnote w:type="continuationSeparator" w:id="1">
    <w:p w:rsidR="005A1B0B" w:rsidRDefault="005A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76" w:rsidRDefault="005B7587" w:rsidP="00C43ED5">
    <w:pPr>
      <w:pStyle w:val="a4"/>
      <w:framePr w:wrap="around" w:vAnchor="text" w:hAnchor="margin" w:xAlign="center" w:y="1"/>
      <w:rPr>
        <w:rStyle w:val="a6"/>
      </w:rPr>
    </w:pPr>
    <w:r>
      <w:rPr>
        <w:rStyle w:val="a6"/>
      </w:rPr>
      <w:fldChar w:fldCharType="begin"/>
    </w:r>
    <w:r w:rsidR="00101F76">
      <w:rPr>
        <w:rStyle w:val="a6"/>
      </w:rPr>
      <w:instrText xml:space="preserve">PAGE  </w:instrText>
    </w:r>
    <w:r>
      <w:rPr>
        <w:rStyle w:val="a6"/>
      </w:rPr>
      <w:fldChar w:fldCharType="end"/>
    </w:r>
  </w:p>
  <w:p w:rsidR="00101F76" w:rsidRDefault="00101F76">
    <w:pPr>
      <w:pStyle w:val="a4"/>
    </w:pPr>
  </w:p>
  <w:p w:rsidR="00101F76" w:rsidRDefault="00101F76"/>
  <w:p w:rsidR="00101F76" w:rsidRDefault="00101F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76" w:rsidRDefault="00101F76"/>
  <w:p w:rsidR="00101F76" w:rsidRDefault="00101F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14293"/>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B0B"/>
    <w:rsid w:val="005A1E62"/>
    <w:rsid w:val="005B0FD3"/>
    <w:rsid w:val="005B393D"/>
    <w:rsid w:val="005B423D"/>
    <w:rsid w:val="005B572E"/>
    <w:rsid w:val="005B7587"/>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99"/>
        <o:r id="V:Rule2" type="connector" idref="#Прямая со стрелкой 197"/>
        <o:r id="V:Rule3" type="connector" idref="#Прямая со стрелкой 195"/>
        <o:r id="V:Rule4" type="connector" idref="#Прямая со стрелкой 193"/>
        <o:r id="V:Rule5" type="connector" idref="#Прямая со стрелкой 192"/>
        <o:r id="V:Rule6" type="connector" idref="#Прямая со стрелкой 189"/>
        <o:r id="V:Rule7" type="connector" idref="#Прямая со стрелкой 188"/>
        <o:r id="V:Rule8" type="connector" idref="#Прямая со стрелкой 187"/>
        <o:r id="V:Rule9" type="connector" idref="#Прямая со стрелкой 186"/>
        <o:r id="V:Rule10" type="connector" idref="#Прямая со стрелкой 182"/>
        <o:r id="V:Rule11" type="connector" idref="#Прямая со стрелкой 181"/>
        <o:r id="V:Rule12" type="connector" idref="#Прямая со стрелкой 178"/>
        <o:r id="V:Rule13" type="connector" idref="#Прямая со стрелкой 177"/>
        <o:r id="V:Rule14" type="connector" idref="#Прямая со стрелкой 174"/>
        <o:r id="V:Rule15" type="connector" idref="#Прямая со стрелкой 173"/>
        <o:r id="V:Rule16" type="connector" idref="#Прямая со стрелкой 170"/>
        <o:r id="V:Rule17" type="connector" idref="#Прямая со стрелкой 168"/>
        <o:r id="V:Rule18" type="connector" idref="#Прямая со стрелкой 164"/>
        <o:r id="V:Rule19" type="connector" idref="#Прямая со стрелкой 163"/>
        <o:r id="V:Rule20" type="connector" idref="#Прямая со стрелкой 160"/>
        <o:r id="V:Rule21" type="connector" idref="#Прямая со стрелкой 159"/>
        <o:r id="V:Rule22" type="connector" idref="#Прямая со стрелкой 154"/>
        <o:r id="V:Rule23" type="connector" idref="#Прямая со стрелкой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402AFA7FC0D004FC5210B1038887E727B79AB429C66D61CB9C94D57B6484581D048E1677l7K2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2ABE2h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5" Type="http://schemas.openxmlformats.org/officeDocument/2006/relationships/webSettings" Target="webSettings.xml"/><Relationship Id="rId15"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http://&#1084;&#1092;&#1094;6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7402AFA7FC0D004FC5210B1038887E727B89EBF2DC56D61CB9C94D57Bl6K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D35B-24F1-4D38-AADF-A705F80C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57303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2017-01-24T12:14:00Z</cp:lastPrinted>
  <dcterms:created xsi:type="dcterms:W3CDTF">2017-01-31T07:11:00Z</dcterms:created>
  <dcterms:modified xsi:type="dcterms:W3CDTF">2017-01-31T07:11:00Z</dcterms:modified>
</cp:coreProperties>
</file>