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:rsidR="00AA48BA" w:rsidRDefault="00C52D24" w:rsidP="00C4685B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на 2016-2020 годы</w:t>
      </w:r>
      <w:r w:rsidR="00C4685B">
        <w:rPr>
          <w:b/>
          <w:szCs w:val="28"/>
        </w:rPr>
        <w:t xml:space="preserve"> (</w:t>
      </w:r>
      <w:r w:rsidR="00A908A4">
        <w:rPr>
          <w:b/>
          <w:szCs w:val="28"/>
        </w:rPr>
        <w:t>за 2017</w:t>
      </w:r>
      <w:r w:rsidR="00C4685B" w:rsidRPr="00C4685B">
        <w:rPr>
          <w:b/>
          <w:szCs w:val="28"/>
        </w:rPr>
        <w:t xml:space="preserve"> год</w:t>
      </w:r>
      <w:r w:rsidR="00C4685B"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ED320C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программы «Создание благоприятного предпринимательского климата в муниципальном образовании Руднянский район Смоленской области» на 2016-2020 год</w:t>
      </w:r>
      <w:r w:rsidR="002324C5">
        <w:rPr>
          <w:rFonts w:ascii="Times New Roman" w:hAnsi="Times New Roman"/>
          <w:sz w:val="28"/>
          <w:szCs w:val="28"/>
        </w:rPr>
        <w:t>ы</w:t>
      </w:r>
      <w:r w:rsidR="00DC4E91" w:rsidRPr="008C00D6">
        <w:rPr>
          <w:rFonts w:ascii="Times New Roman" w:hAnsi="Times New Roman"/>
          <w:b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F7599E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Pr="008C00D6">
        <w:rPr>
          <w:rFonts w:ascii="Times New Roman" w:hAnsi="Times New Roman"/>
          <w:sz w:val="28"/>
          <w:szCs w:val="28"/>
        </w:rPr>
        <w:t xml:space="preserve">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</w:t>
      </w:r>
      <w:proofErr w:type="gramEnd"/>
      <w:r w:rsidR="008C00D6" w:rsidRPr="008C00D6">
        <w:rPr>
          <w:rFonts w:ascii="Times New Roman" w:hAnsi="Times New Roman"/>
          <w:sz w:val="28"/>
          <w:szCs w:val="28"/>
        </w:rPr>
        <w:t xml:space="preserve">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proofErr w:type="spellEnd"/>
      <w:r w:rsidR="002D5131">
        <w:rPr>
          <w:rFonts w:ascii="Times New Roman" w:hAnsi="Times New Roman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spellStart"/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 w:val="24"/>
          <w:szCs w:val="24"/>
        </w:rPr>
        <w:t xml:space="preserve"> </w:t>
      </w:r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proofErr w:type="spellStart"/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proofErr w:type="spellEnd"/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proofErr w:type="spellStart"/>
      <w:proofErr w:type="gramStart"/>
      <w:r w:rsidR="0078542A" w:rsidRPr="0078542A">
        <w:rPr>
          <w:rFonts w:ascii="Times New Roman" w:hAnsi="Times New Roman"/>
        </w:rPr>
        <w:t>п</w:t>
      </w:r>
      <w:proofErr w:type="spellEnd"/>
      <w:proofErr w:type="gramEnd"/>
      <w:r w:rsidR="0078542A" w:rsidRPr="0078542A">
        <w:rPr>
          <w:rFonts w:ascii="Times New Roman" w:hAnsi="Times New Roman"/>
        </w:rPr>
        <w:t>/</w:t>
      </w:r>
      <w:proofErr w:type="spellStart"/>
      <w:r w:rsidR="0078542A" w:rsidRPr="0078542A">
        <w:rPr>
          <w:rFonts w:ascii="Times New Roman" w:hAnsi="Times New Roman"/>
        </w:rPr>
        <w:t>ппз</w:t>
      </w:r>
      <w:proofErr w:type="spellEnd"/>
      <w:r w:rsidR="0078542A">
        <w:rPr>
          <w:rFonts w:ascii="Times New Roman" w:hAnsi="Times New Roman"/>
        </w:rPr>
        <w:t xml:space="preserve"> = 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>/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proofErr w:type="spellStart"/>
      <w:proofErr w:type="gramStart"/>
      <w:r w:rsidR="00D46A31" w:rsidRPr="00D46A31">
        <w:rPr>
          <w:sz w:val="22"/>
          <w:szCs w:val="22"/>
        </w:rPr>
        <w:t>п</w:t>
      </w:r>
      <w:proofErr w:type="spellEnd"/>
      <w:proofErr w:type="gram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</w:t>
      </w:r>
      <w:proofErr w:type="gramStart"/>
      <w:r w:rsidR="002E6E94">
        <w:rPr>
          <w:szCs w:val="28"/>
        </w:rPr>
        <w:t>оценки степени реализации основного мероприятия муниципальной программы</w:t>
      </w:r>
      <w:proofErr w:type="gramEnd"/>
      <w:r w:rsidR="002E6E94">
        <w:rPr>
          <w:szCs w:val="28"/>
        </w:rPr>
        <w:t xml:space="preserve">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proofErr w:type="spellStart"/>
      <w:proofErr w:type="gramStart"/>
      <w:r w:rsidR="00F07C18" w:rsidRPr="00F07C18">
        <w:rPr>
          <w:sz w:val="22"/>
          <w:szCs w:val="22"/>
        </w:rPr>
        <w:t>п</w:t>
      </w:r>
      <w:proofErr w:type="spellEnd"/>
      <w:proofErr w:type="gram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 xml:space="preserve">  </w:t>
      </w:r>
      <w:r w:rsidR="00D46A31"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proofErr w:type="spellStart"/>
      <w:r w:rsidR="00703C07" w:rsidRPr="00703C07">
        <w:rPr>
          <w:sz w:val="22"/>
          <w:szCs w:val="22"/>
        </w:rPr>
        <w:t>гппз</w:t>
      </w:r>
      <w:proofErr w:type="spellEnd"/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proofErr w:type="gramStart"/>
      <w:r w:rsidR="00F57AED" w:rsidRPr="00F57AED">
        <w:rPr>
          <w:szCs w:val="28"/>
        </w:rPr>
        <w:t>СР</w:t>
      </w:r>
      <w:proofErr w:type="gramEnd"/>
      <w:r w:rsidR="00D71042">
        <w:rPr>
          <w:szCs w:val="28"/>
        </w:rPr>
        <w:t xml:space="preserve"> </w:t>
      </w:r>
      <w:proofErr w:type="spellStart"/>
      <w:r w:rsidR="00F57AED" w:rsidRPr="00F57AED">
        <w:rPr>
          <w:sz w:val="22"/>
          <w:szCs w:val="22"/>
        </w:rPr>
        <w:t>гп</w:t>
      </w:r>
      <w:proofErr w:type="spellEnd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</w:t>
      </w:r>
      <w:proofErr w:type="spellStart"/>
      <w:r w:rsidR="00D46A31" w:rsidRPr="001F0359">
        <w:rPr>
          <w:szCs w:val="28"/>
        </w:rPr>
        <w:t>j-й</w:t>
      </w:r>
      <w:proofErr w:type="spellEnd"/>
      <w:r w:rsidR="00D46A31" w:rsidRPr="001F0359">
        <w:rPr>
          <w:szCs w:val="28"/>
        </w:rPr>
        <w:t xml:space="preserve">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proofErr w:type="spellStart"/>
      <w:r>
        <w:rPr>
          <w:szCs w:val="28"/>
        </w:rPr>
        <w:t>j</w:t>
      </w:r>
      <w:proofErr w:type="spellEnd"/>
      <w:r>
        <w:rPr>
          <w:szCs w:val="28"/>
        </w:rPr>
        <w:t xml:space="preserve">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proofErr w:type="gramStart"/>
      <w:r w:rsidR="00F57AED" w:rsidRPr="006F227B">
        <w:rPr>
          <w:szCs w:val="28"/>
        </w:rPr>
        <w:t>1</w:t>
      </w:r>
      <w:proofErr w:type="gramEnd"/>
      <w:r w:rsidR="00F57AED" w:rsidRPr="006F227B">
        <w:rPr>
          <w:szCs w:val="28"/>
        </w:rPr>
        <w:t>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2324C5">
        <w:rPr>
          <w:rFonts w:ascii="Times New Roman" w:hAnsi="Times New Roman"/>
          <w:sz w:val="28"/>
          <w:szCs w:val="28"/>
        </w:rPr>
        <w:t>нской области» на 2016-2020 годы</w:t>
      </w:r>
      <w:r w:rsidR="00D57F32" w:rsidRPr="00DB1847">
        <w:rPr>
          <w:rFonts w:ascii="Times New Roman" w:hAnsi="Times New Roman"/>
          <w:sz w:val="28"/>
          <w:szCs w:val="28"/>
        </w:rPr>
        <w:t xml:space="preserve"> 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:rsidR="00DB1847" w:rsidRDefault="00DB1847" w:rsidP="00B1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совершенствование нормативной правовой базы и мониторинг деятельности субъектов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организационной, информационной и консультационной поддержки;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08A4" w:rsidRPr="00051921">
        <w:rPr>
          <w:rFonts w:ascii="Times New Roman" w:hAnsi="Times New Roman"/>
          <w:sz w:val="28"/>
          <w:szCs w:val="28"/>
        </w:rPr>
        <w:t>содействие в подготовке, переподготовке и повышении квалификации кадров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  <w:proofErr w:type="gramEnd"/>
    </w:p>
    <w:p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r w:rsidR="00F2295E">
        <w:rPr>
          <w:rFonts w:ascii="Times New Roman" w:hAnsi="Times New Roman"/>
          <w:sz w:val="28"/>
          <w:szCs w:val="28"/>
        </w:rPr>
        <w:t xml:space="preserve"> </w:t>
      </w:r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</w:t>
      </w:r>
      <w:r w:rsidR="002324C5">
        <w:rPr>
          <w:rFonts w:ascii="Times New Roman" w:hAnsi="Times New Roman"/>
          <w:sz w:val="28"/>
          <w:szCs w:val="28"/>
        </w:rPr>
        <w:t xml:space="preserve">годы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 xml:space="preserve">- увеличению доли налоговых поступлений от субъектов малого и среднего предпринимательства </w:t>
      </w:r>
      <w:proofErr w:type="gramStart"/>
      <w:r>
        <w:rPr>
          <w:rFonts w:eastAsia="Calibri"/>
          <w:b w:val="0"/>
          <w:szCs w:val="28"/>
        </w:rPr>
        <w:t>в</w:t>
      </w:r>
      <w:proofErr w:type="gramEnd"/>
      <w:r>
        <w:rPr>
          <w:rFonts w:eastAsia="Calibri"/>
          <w:b w:val="0"/>
          <w:szCs w:val="28"/>
        </w:rPr>
        <w:t xml:space="preserve"> </w:t>
      </w:r>
      <w:proofErr w:type="gramStart"/>
      <w:r>
        <w:rPr>
          <w:rFonts w:eastAsia="Calibri"/>
          <w:b w:val="0"/>
          <w:szCs w:val="28"/>
        </w:rPr>
        <w:t>областной</w:t>
      </w:r>
      <w:proofErr w:type="gramEnd"/>
      <w:r>
        <w:rPr>
          <w:rFonts w:eastAsia="Calibri"/>
          <w:b w:val="0"/>
          <w:szCs w:val="28"/>
        </w:rPr>
        <w:t xml:space="preserve"> и местный бюджеты;</w:t>
      </w:r>
    </w:p>
    <w:p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увеличению доли производства товаров (услуг) субъектами малого и среднего предпринимательства в общем объеме товаров (услуг), произведенных в </w:t>
      </w:r>
      <w:proofErr w:type="spellStart"/>
      <w:r>
        <w:rPr>
          <w:b w:val="0"/>
          <w:szCs w:val="28"/>
        </w:rPr>
        <w:t>Руднянском</w:t>
      </w:r>
      <w:proofErr w:type="spellEnd"/>
      <w:r>
        <w:rPr>
          <w:b w:val="0"/>
          <w:szCs w:val="28"/>
        </w:rPr>
        <w:t xml:space="preserve"> районе Смоленской области;</w:t>
      </w:r>
    </w:p>
    <w:p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DB1847" w:rsidRPr="00B109ED" w:rsidRDefault="00DB1847" w:rsidP="00B109ED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131"/>
    <w:rsid w:val="00007510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72620"/>
    <w:rsid w:val="005A729D"/>
    <w:rsid w:val="0063050C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B109ED"/>
    <w:rsid w:val="00B22CFB"/>
    <w:rsid w:val="00B271CA"/>
    <w:rsid w:val="00BB3C93"/>
    <w:rsid w:val="00BE4552"/>
    <w:rsid w:val="00C33BF2"/>
    <w:rsid w:val="00C4685B"/>
    <w:rsid w:val="00C52D24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Виктория</dc:creator>
  <cp:keywords/>
  <cp:lastModifiedBy>User</cp:lastModifiedBy>
  <cp:revision>8</cp:revision>
  <cp:lastPrinted>2017-03-30T12:01:00Z</cp:lastPrinted>
  <dcterms:created xsi:type="dcterms:W3CDTF">2018-02-19T12:32:00Z</dcterms:created>
  <dcterms:modified xsi:type="dcterms:W3CDTF">2018-02-27T13:36:00Z</dcterms:modified>
</cp:coreProperties>
</file>